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2340"/>
        <w:gridCol w:w="2118"/>
        <w:gridCol w:w="2737"/>
      </w:tblGrid>
      <w:tr w:rsidR="008B0276" w14:paraId="01E42F11" w14:textId="77777777" w:rsidTr="00D945F4">
        <w:trPr>
          <w:trHeight w:val="261"/>
        </w:trPr>
        <w:tc>
          <w:tcPr>
            <w:tcW w:w="4495" w:type="dxa"/>
            <w:gridSpan w:val="2"/>
          </w:tcPr>
          <w:p w14:paraId="32D53CB5" w14:textId="77777777" w:rsidR="008B0276" w:rsidRDefault="008B0276">
            <w:r>
              <w:t>Sub-Committee:</w:t>
            </w:r>
          </w:p>
        </w:tc>
        <w:tc>
          <w:tcPr>
            <w:tcW w:w="4855" w:type="dxa"/>
            <w:gridSpan w:val="2"/>
          </w:tcPr>
          <w:p w14:paraId="3986C299" w14:textId="77777777" w:rsidR="008B0276" w:rsidRPr="008B0276" w:rsidRDefault="00F81669">
            <w:pPr>
              <w:rPr>
                <w:b/>
                <w:sz w:val="28"/>
              </w:rPr>
            </w:pPr>
            <w:r>
              <w:rPr>
                <w:b/>
                <w:sz w:val="28"/>
              </w:rPr>
              <w:t>General / Investor Reporting</w:t>
            </w:r>
          </w:p>
        </w:tc>
      </w:tr>
      <w:tr w:rsidR="008B0276" w14:paraId="06BA380A" w14:textId="77777777" w:rsidTr="00D945F4">
        <w:trPr>
          <w:trHeight w:val="261"/>
        </w:trPr>
        <w:tc>
          <w:tcPr>
            <w:tcW w:w="4495" w:type="dxa"/>
            <w:gridSpan w:val="2"/>
          </w:tcPr>
          <w:p w14:paraId="29EE5D98" w14:textId="77777777" w:rsidR="008B0276" w:rsidRDefault="008B0276">
            <w:r>
              <w:t>Date/Time of Meeting:</w:t>
            </w:r>
          </w:p>
        </w:tc>
        <w:tc>
          <w:tcPr>
            <w:tcW w:w="4855" w:type="dxa"/>
            <w:gridSpan w:val="2"/>
          </w:tcPr>
          <w:p w14:paraId="38894F76" w14:textId="0BB8D06C" w:rsidR="008B0276" w:rsidRDefault="00F81669">
            <w:r>
              <w:t xml:space="preserve">Wednesday, </w:t>
            </w:r>
            <w:r w:rsidR="00265F59">
              <w:t>August 11</w:t>
            </w:r>
            <w:r>
              <w:t>, 2021</w:t>
            </w:r>
          </w:p>
        </w:tc>
      </w:tr>
      <w:tr w:rsidR="008B0276" w14:paraId="0A115929" w14:textId="77777777" w:rsidTr="00D945F4">
        <w:trPr>
          <w:trHeight w:val="261"/>
        </w:trPr>
        <w:tc>
          <w:tcPr>
            <w:tcW w:w="4495" w:type="dxa"/>
            <w:gridSpan w:val="2"/>
          </w:tcPr>
          <w:p w14:paraId="310486C4" w14:textId="77777777" w:rsidR="008B0276" w:rsidRDefault="008B0276">
            <w:r>
              <w:t>Committee Chair:</w:t>
            </w:r>
          </w:p>
          <w:p w14:paraId="15B2CA59" w14:textId="77777777" w:rsidR="008B0276" w:rsidRDefault="008B0276">
            <w:r>
              <w:t>MAC Director:</w:t>
            </w:r>
          </w:p>
        </w:tc>
        <w:tc>
          <w:tcPr>
            <w:tcW w:w="4855" w:type="dxa"/>
            <w:gridSpan w:val="2"/>
          </w:tcPr>
          <w:p w14:paraId="07097434" w14:textId="77777777" w:rsidR="008B0276" w:rsidRDefault="00F81669">
            <w:r>
              <w:t>Denise Pappu</w:t>
            </w:r>
            <w:r w:rsidR="00522905">
              <w:t xml:space="preserve"> and Biren Mahendran</w:t>
            </w:r>
          </w:p>
          <w:p w14:paraId="10BBA764" w14:textId="77777777" w:rsidR="008B0276" w:rsidRDefault="008B0276"/>
        </w:tc>
      </w:tr>
      <w:tr w:rsidR="008B0276" w14:paraId="52F5D0C2" w14:textId="77777777" w:rsidTr="00D945F4">
        <w:trPr>
          <w:trHeight w:val="261"/>
        </w:trPr>
        <w:tc>
          <w:tcPr>
            <w:tcW w:w="4495" w:type="dxa"/>
            <w:gridSpan w:val="2"/>
          </w:tcPr>
          <w:p w14:paraId="5696255A" w14:textId="77777777" w:rsidR="008B0276" w:rsidRDefault="008B0276" w:rsidP="008B0276">
            <w:r>
              <w:t>McCracken Representatives:</w:t>
            </w:r>
          </w:p>
          <w:p w14:paraId="5923D505" w14:textId="77777777" w:rsidR="008B0276" w:rsidRDefault="008B0276" w:rsidP="008B0276">
            <w:pPr>
              <w:tabs>
                <w:tab w:val="right" w:pos="2520"/>
              </w:tabs>
            </w:pPr>
            <w:r>
              <w:tab/>
              <w:t>*Notes Submitted by:</w:t>
            </w:r>
          </w:p>
        </w:tc>
        <w:tc>
          <w:tcPr>
            <w:tcW w:w="4855" w:type="dxa"/>
            <w:gridSpan w:val="2"/>
          </w:tcPr>
          <w:p w14:paraId="4EB00D2A" w14:textId="62D8811B" w:rsidR="008B0276" w:rsidRDefault="00C61DF5">
            <w:r>
              <w:t>*</w:t>
            </w:r>
            <w:r w:rsidR="00F81669">
              <w:t>Karla Ferguson, Karen Peterpaul, Shari Hartwell Cook, Kim Cooper,</w:t>
            </w:r>
          </w:p>
        </w:tc>
      </w:tr>
      <w:tr w:rsidR="00734348" w14:paraId="5334F06E" w14:textId="77777777" w:rsidTr="00FB100C">
        <w:trPr>
          <w:trHeight w:val="261"/>
        </w:trPr>
        <w:tc>
          <w:tcPr>
            <w:tcW w:w="9350" w:type="dxa"/>
            <w:gridSpan w:val="4"/>
          </w:tcPr>
          <w:p w14:paraId="7A0955FE" w14:textId="44837E57" w:rsidR="00734348" w:rsidRDefault="00734348" w:rsidP="00734348">
            <w:r>
              <w:t>Attendees:</w:t>
            </w:r>
          </w:p>
        </w:tc>
      </w:tr>
      <w:tr w:rsidR="00734348" w14:paraId="30C87BBE" w14:textId="77777777" w:rsidTr="00734348">
        <w:trPr>
          <w:trHeight w:val="323"/>
        </w:trPr>
        <w:tc>
          <w:tcPr>
            <w:tcW w:w="2155" w:type="dxa"/>
          </w:tcPr>
          <w:p w14:paraId="23893EFB" w14:textId="63E6E31E" w:rsidR="00734348" w:rsidRDefault="00734348" w:rsidP="00734348">
            <w:r>
              <w:t>Name</w:t>
            </w:r>
          </w:p>
        </w:tc>
        <w:tc>
          <w:tcPr>
            <w:tcW w:w="2340" w:type="dxa"/>
          </w:tcPr>
          <w:p w14:paraId="30F87FCF" w14:textId="7F912700" w:rsidR="00734348" w:rsidRDefault="00734348" w:rsidP="00734348">
            <w:r>
              <w:t>Company</w:t>
            </w:r>
          </w:p>
        </w:tc>
        <w:tc>
          <w:tcPr>
            <w:tcW w:w="2118" w:type="dxa"/>
          </w:tcPr>
          <w:p w14:paraId="5EEBB88A" w14:textId="3A7FEFDC" w:rsidR="00734348" w:rsidRDefault="00734348" w:rsidP="00734348">
            <w:r>
              <w:t>Name</w:t>
            </w:r>
          </w:p>
        </w:tc>
        <w:tc>
          <w:tcPr>
            <w:tcW w:w="2737" w:type="dxa"/>
          </w:tcPr>
          <w:p w14:paraId="25791287" w14:textId="59638894" w:rsidR="00734348" w:rsidRDefault="00734348" w:rsidP="00734348">
            <w:r>
              <w:t>Company</w:t>
            </w:r>
          </w:p>
        </w:tc>
      </w:tr>
      <w:tr w:rsidR="00734348" w14:paraId="12562C36" w14:textId="77777777" w:rsidTr="00D945F4">
        <w:trPr>
          <w:trHeight w:val="3412"/>
        </w:trPr>
        <w:tc>
          <w:tcPr>
            <w:tcW w:w="2155" w:type="dxa"/>
          </w:tcPr>
          <w:p w14:paraId="3EE18ED9" w14:textId="77777777" w:rsidR="00734348" w:rsidRDefault="00734348" w:rsidP="00734348">
            <w:r>
              <w:t>Denise Pappu</w:t>
            </w:r>
          </w:p>
          <w:p w14:paraId="2AD86D4C" w14:textId="77777777" w:rsidR="00734348" w:rsidRDefault="00734348" w:rsidP="00734348">
            <w:r>
              <w:t>Karla Ferguson</w:t>
            </w:r>
          </w:p>
          <w:p w14:paraId="0CC5EEAC" w14:textId="1F220D64" w:rsidR="00B21D55" w:rsidRDefault="00B21D55" w:rsidP="00734348">
            <w:r>
              <w:t>Shari Hartwell-Cook</w:t>
            </w:r>
          </w:p>
          <w:p w14:paraId="43615E56" w14:textId="5DD8BFBD" w:rsidR="00AD62F2" w:rsidRDefault="00AD62F2" w:rsidP="00734348">
            <w:r>
              <w:t>Amanda DeHorney</w:t>
            </w:r>
          </w:p>
          <w:p w14:paraId="5F40A4DA" w14:textId="57C109D2" w:rsidR="00AD62F2" w:rsidRDefault="00AD62F2" w:rsidP="00734348">
            <w:r>
              <w:t>Angela Barnes</w:t>
            </w:r>
          </w:p>
          <w:p w14:paraId="23A293D5" w14:textId="1970DC59" w:rsidR="00AD62F2" w:rsidRDefault="00230A1D" w:rsidP="00734348">
            <w:r>
              <w:t>Archana Rao</w:t>
            </w:r>
          </w:p>
          <w:p w14:paraId="36AB556B" w14:textId="78D5F693" w:rsidR="00734348" w:rsidRDefault="00734348" w:rsidP="00734348">
            <w:r>
              <w:t>Denice Dosh</w:t>
            </w:r>
          </w:p>
          <w:p w14:paraId="65F8CB0D" w14:textId="2CA081D9" w:rsidR="00734348" w:rsidRDefault="00734348" w:rsidP="00734348">
            <w:r>
              <w:t>Carla Hoffman</w:t>
            </w:r>
          </w:p>
          <w:p w14:paraId="583A4AB2" w14:textId="77777777" w:rsidR="00B21D55" w:rsidRDefault="00004B46" w:rsidP="00734348">
            <w:r>
              <w:t>Eloy DeLuna</w:t>
            </w:r>
          </w:p>
          <w:p w14:paraId="2874C979" w14:textId="77777777" w:rsidR="00F83E3C" w:rsidRDefault="00AD62F2" w:rsidP="00734348">
            <w:r>
              <w:t>Melissa Gayle</w:t>
            </w:r>
          </w:p>
          <w:p w14:paraId="3B0DCF74" w14:textId="77777777" w:rsidR="00AD62F2" w:rsidRDefault="00AD62F2" w:rsidP="00734348">
            <w:r>
              <w:t>Jason Kamienski</w:t>
            </w:r>
          </w:p>
          <w:p w14:paraId="75E22ADF" w14:textId="2D13BA52" w:rsidR="00AD62F2" w:rsidRDefault="00507B60" w:rsidP="00734348">
            <w:r>
              <w:t>Judy Ledbetter</w:t>
            </w:r>
          </w:p>
          <w:p w14:paraId="0C0CF12A" w14:textId="51F17889" w:rsidR="00AD62F2" w:rsidRDefault="00AD62F2" w:rsidP="00734348">
            <w:r>
              <w:t>Sudhir Chopra</w:t>
            </w:r>
          </w:p>
        </w:tc>
        <w:tc>
          <w:tcPr>
            <w:tcW w:w="2340" w:type="dxa"/>
          </w:tcPr>
          <w:p w14:paraId="5C756212" w14:textId="77777777" w:rsidR="00734348" w:rsidRDefault="00734348" w:rsidP="00734348">
            <w:r>
              <w:t>Wells Fargo</w:t>
            </w:r>
          </w:p>
          <w:p w14:paraId="4AEF8BA9" w14:textId="77777777" w:rsidR="00734348" w:rsidRDefault="00734348" w:rsidP="00734348">
            <w:r>
              <w:t>McCracken</w:t>
            </w:r>
          </w:p>
          <w:p w14:paraId="5A020791" w14:textId="474B85D6" w:rsidR="00B21D55" w:rsidRDefault="00B21D55" w:rsidP="00734348">
            <w:r>
              <w:t>McCracken</w:t>
            </w:r>
          </w:p>
          <w:p w14:paraId="324D62EC" w14:textId="55B68BE4" w:rsidR="00AD62F2" w:rsidRDefault="00230A1D" w:rsidP="00734348">
            <w:r>
              <w:t>PGIM</w:t>
            </w:r>
          </w:p>
          <w:p w14:paraId="3F698232" w14:textId="2A8E74E7" w:rsidR="00AD62F2" w:rsidRDefault="00507B60" w:rsidP="00734348">
            <w:r>
              <w:t>Chase</w:t>
            </w:r>
          </w:p>
          <w:p w14:paraId="201EC6E5" w14:textId="70D7B327" w:rsidR="00AD62F2" w:rsidRDefault="00230A1D" w:rsidP="00734348">
            <w:r>
              <w:t>CPC</w:t>
            </w:r>
          </w:p>
          <w:p w14:paraId="08831DE5" w14:textId="4DB47CA6" w:rsidR="00734348" w:rsidRDefault="00734348" w:rsidP="00734348">
            <w:r>
              <w:t>Columbia Management</w:t>
            </w:r>
          </w:p>
          <w:p w14:paraId="291E8281" w14:textId="40E7BC75" w:rsidR="00734348" w:rsidRDefault="00734348" w:rsidP="00734348">
            <w:r>
              <w:t>KeyBank</w:t>
            </w:r>
          </w:p>
          <w:p w14:paraId="3AB22BEF" w14:textId="77777777" w:rsidR="00004B46" w:rsidRDefault="00004B46" w:rsidP="00734348">
            <w:r>
              <w:t>CBRE</w:t>
            </w:r>
          </w:p>
          <w:p w14:paraId="4BF9A280" w14:textId="21D6ADEE" w:rsidR="00F83E3C" w:rsidRDefault="00230A1D" w:rsidP="00734348">
            <w:r>
              <w:t>Virginia Housing</w:t>
            </w:r>
          </w:p>
          <w:p w14:paraId="6676339E" w14:textId="77777777" w:rsidR="00AD62F2" w:rsidRDefault="00AD62F2" w:rsidP="00734348">
            <w:r>
              <w:t>Berkadia</w:t>
            </w:r>
          </w:p>
          <w:p w14:paraId="21527F06" w14:textId="77777777" w:rsidR="00507B60" w:rsidRDefault="00507B60" w:rsidP="00734348">
            <w:r>
              <w:t>Capital Impact</w:t>
            </w:r>
          </w:p>
          <w:p w14:paraId="678C9FAA" w14:textId="5670CFFB" w:rsidR="00230A1D" w:rsidRDefault="00230A1D" w:rsidP="00734348">
            <w:r>
              <w:t>Virginia Housing</w:t>
            </w:r>
          </w:p>
        </w:tc>
        <w:tc>
          <w:tcPr>
            <w:tcW w:w="2118" w:type="dxa"/>
          </w:tcPr>
          <w:p w14:paraId="4DE0447E" w14:textId="254E002B" w:rsidR="00734348" w:rsidRDefault="00F83E3C" w:rsidP="00734348">
            <w:r>
              <w:t>Justin Burch</w:t>
            </w:r>
          </w:p>
          <w:p w14:paraId="30AD747B" w14:textId="77777777" w:rsidR="00734348" w:rsidRDefault="00734348" w:rsidP="00734348">
            <w:r>
              <w:t>Melinda DiGirolamo</w:t>
            </w:r>
          </w:p>
          <w:p w14:paraId="40A471B3" w14:textId="0FE7E90B" w:rsidR="00C72F1F" w:rsidRDefault="00B21D55" w:rsidP="00734348">
            <w:r>
              <w:t>Hope Rutter</w:t>
            </w:r>
          </w:p>
          <w:p w14:paraId="18D61A92" w14:textId="40A7E4F9" w:rsidR="00B21D55" w:rsidRDefault="00230A1D" w:rsidP="00734348">
            <w:r>
              <w:t>Haider Mohamed</w:t>
            </w:r>
          </w:p>
        </w:tc>
        <w:tc>
          <w:tcPr>
            <w:tcW w:w="2737" w:type="dxa"/>
          </w:tcPr>
          <w:p w14:paraId="65301DD8" w14:textId="3ED479E8" w:rsidR="00734348" w:rsidRDefault="00F83E3C" w:rsidP="00734348">
            <w:r>
              <w:t>Capital One</w:t>
            </w:r>
          </w:p>
          <w:p w14:paraId="75762529" w14:textId="77777777" w:rsidR="00734348" w:rsidRDefault="00734348" w:rsidP="00734348">
            <w:r>
              <w:t>Capital One</w:t>
            </w:r>
          </w:p>
          <w:p w14:paraId="409F87B2" w14:textId="77777777" w:rsidR="00F83E3C" w:rsidRDefault="00B21D55" w:rsidP="00734348">
            <w:r>
              <w:t>Virginia Hous</w:t>
            </w:r>
            <w:r w:rsidR="00507B60">
              <w:t>ing</w:t>
            </w:r>
          </w:p>
          <w:p w14:paraId="68C61666" w14:textId="1BF86F90" w:rsidR="00230A1D" w:rsidRDefault="00230A1D" w:rsidP="00734348">
            <w:r>
              <w:t>Sterling National Bank</w:t>
            </w:r>
          </w:p>
        </w:tc>
      </w:tr>
    </w:tbl>
    <w:p w14:paraId="163FF26E" w14:textId="77777777" w:rsidR="00BF74EA" w:rsidRDefault="00BF74EA"/>
    <w:p w14:paraId="2E442799" w14:textId="77777777" w:rsidR="008B0276" w:rsidRDefault="008B0276" w:rsidP="008B0276">
      <w:pPr>
        <w:pBdr>
          <w:bottom w:val="double" w:sz="4" w:space="1" w:color="00162F" w:themeColor="accent5" w:themeShade="1A"/>
        </w:pBdr>
        <w:rPr>
          <w:color w:val="00162F" w:themeColor="accent5" w:themeShade="1A"/>
        </w:rPr>
      </w:pPr>
      <w:r w:rsidRPr="008B0276">
        <w:rPr>
          <w:color w:val="00162F" w:themeColor="accent5" w:themeShade="1A"/>
        </w:rPr>
        <w:t>Meeting Minutes:</w:t>
      </w:r>
    </w:p>
    <w:p w14:paraId="5058761A" w14:textId="371A3DD7" w:rsidR="0062422E" w:rsidRDefault="00E277B4" w:rsidP="008B0276">
      <w:pPr>
        <w:rPr>
          <w:color w:val="00162F" w:themeColor="accent5" w:themeShade="1A"/>
        </w:rPr>
      </w:pPr>
      <w:r>
        <w:rPr>
          <w:color w:val="00162F" w:themeColor="accent5" w:themeShade="1A"/>
        </w:rPr>
        <w:t>Review of last meetings summary and follow ups -</w:t>
      </w:r>
      <w:r w:rsidR="00BA057F">
        <w:rPr>
          <w:color w:val="00162F" w:themeColor="accent5" w:themeShade="1A"/>
        </w:rPr>
        <w:t xml:space="preserve"> the last </w:t>
      </w:r>
      <w:r>
        <w:rPr>
          <w:color w:val="00162F" w:themeColor="accent5" w:themeShade="1A"/>
        </w:rPr>
        <w:t>subcommittee</w:t>
      </w:r>
      <w:r w:rsidR="00BA057F">
        <w:rPr>
          <w:color w:val="00162F" w:themeColor="accent5" w:themeShade="1A"/>
        </w:rPr>
        <w:t xml:space="preserve"> meeting</w:t>
      </w:r>
      <w:r>
        <w:rPr>
          <w:color w:val="00162F" w:themeColor="accent5" w:themeShade="1A"/>
        </w:rPr>
        <w:t xml:space="preserve"> was held </w:t>
      </w:r>
      <w:r w:rsidR="00265F59">
        <w:rPr>
          <w:color w:val="00162F" w:themeColor="accent5" w:themeShade="1A"/>
        </w:rPr>
        <w:t>6</w:t>
      </w:r>
      <w:r>
        <w:rPr>
          <w:color w:val="00162F" w:themeColor="accent5" w:themeShade="1A"/>
        </w:rPr>
        <w:t>/</w:t>
      </w:r>
      <w:r w:rsidR="00265F59">
        <w:rPr>
          <w:color w:val="00162F" w:themeColor="accent5" w:themeShade="1A"/>
        </w:rPr>
        <w:t>9</w:t>
      </w:r>
      <w:r>
        <w:rPr>
          <w:color w:val="00162F" w:themeColor="accent5" w:themeShade="1A"/>
        </w:rPr>
        <w:t>/2021</w:t>
      </w:r>
      <w:r w:rsidR="00597772">
        <w:rPr>
          <w:color w:val="00162F" w:themeColor="accent5" w:themeShade="1A"/>
        </w:rPr>
        <w:t>.</w:t>
      </w:r>
      <w:r w:rsidR="001B24BA">
        <w:rPr>
          <w:color w:val="00162F" w:themeColor="accent5" w:themeShade="1A"/>
        </w:rPr>
        <w:t xml:space="preserve">  </w:t>
      </w:r>
    </w:p>
    <w:p w14:paraId="109C16F7" w14:textId="07D3C4F3" w:rsidR="00E277B4" w:rsidRDefault="00E277B4" w:rsidP="00E277B4">
      <w:pPr>
        <w:pBdr>
          <w:bottom w:val="double" w:sz="4" w:space="1" w:color="00162F" w:themeColor="accent5" w:themeShade="1A"/>
        </w:pBdr>
        <w:rPr>
          <w:color w:val="00162F" w:themeColor="accent5" w:themeShade="1A"/>
        </w:rPr>
      </w:pPr>
      <w:r>
        <w:rPr>
          <w:color w:val="00162F" w:themeColor="accent5" w:themeShade="1A"/>
        </w:rPr>
        <w:t xml:space="preserve">Follow-Up from </w:t>
      </w:r>
      <w:r w:rsidR="00265F59">
        <w:rPr>
          <w:color w:val="00162F" w:themeColor="accent5" w:themeShade="1A"/>
        </w:rPr>
        <w:t>6/9</w:t>
      </w:r>
      <w:r>
        <w:rPr>
          <w:color w:val="00162F" w:themeColor="accent5" w:themeShade="1A"/>
        </w:rPr>
        <w:t>/2021 Meeting:</w:t>
      </w:r>
    </w:p>
    <w:p w14:paraId="4F29B668" w14:textId="77777777" w:rsidR="00E277B4" w:rsidRDefault="00E277B4" w:rsidP="00E277B4">
      <w:pPr>
        <w:rPr>
          <w:color w:val="00162F" w:themeColor="accent5" w:themeShade="1A"/>
        </w:rPr>
      </w:pPr>
      <w:r>
        <w:rPr>
          <w:color w:val="00162F" w:themeColor="accent5" w:themeShade="1A"/>
        </w:rPr>
        <w:t>Customers:</w:t>
      </w:r>
    </w:p>
    <w:p w14:paraId="73AE5441" w14:textId="473235C8" w:rsidR="00C15FF0" w:rsidRPr="00265F59" w:rsidRDefault="00C15FF0" w:rsidP="00C15FF0">
      <w:pPr>
        <w:pStyle w:val="ListParagraph"/>
        <w:numPr>
          <w:ilvl w:val="0"/>
          <w:numId w:val="9"/>
        </w:numPr>
        <w:rPr>
          <w:rFonts w:eastAsiaTheme="minorHAnsi"/>
          <w:color w:val="061115"/>
        </w:rPr>
      </w:pPr>
      <w:r>
        <w:rPr>
          <w:color w:val="061115"/>
        </w:rPr>
        <w:t>Jason Kamienski from Berkadia research</w:t>
      </w:r>
      <w:r w:rsidR="00AD62F2">
        <w:rPr>
          <w:color w:val="061115"/>
        </w:rPr>
        <w:t>ed</w:t>
      </w:r>
      <w:r>
        <w:rPr>
          <w:color w:val="061115"/>
        </w:rPr>
        <w:t xml:space="preserve"> Jobs 16841</w:t>
      </w:r>
      <w:r w:rsidR="003C4E00" w:rsidRPr="003C4E00">
        <w:rPr>
          <w:color w:val="FF0000"/>
        </w:rPr>
        <w:t xml:space="preserve"> </w:t>
      </w:r>
      <w:r>
        <w:rPr>
          <w:color w:val="061115"/>
        </w:rPr>
        <w:t xml:space="preserve">&amp; 19758 and </w:t>
      </w:r>
      <w:r w:rsidR="00AD62F2">
        <w:rPr>
          <w:color w:val="061115"/>
        </w:rPr>
        <w:t>confirmed they can both be voided.</w:t>
      </w:r>
    </w:p>
    <w:p w14:paraId="3745DDC4" w14:textId="7BD22E8F" w:rsidR="00265F59" w:rsidRPr="0008071B" w:rsidRDefault="00265F59" w:rsidP="0008071B">
      <w:pPr>
        <w:pStyle w:val="ListParagraph"/>
        <w:numPr>
          <w:ilvl w:val="0"/>
          <w:numId w:val="9"/>
        </w:numPr>
        <w:spacing w:after="160"/>
        <w:jc w:val="both"/>
        <w:rPr>
          <w:rFonts w:eastAsiaTheme="minorHAnsi"/>
        </w:rPr>
      </w:pPr>
      <w:r w:rsidRPr="00DE508A">
        <w:rPr>
          <w:color w:val="00162F" w:themeColor="accent5" w:themeShade="1A"/>
        </w:rPr>
        <w:t xml:space="preserve">Justin at Capital One, and Roxanne/Lawrence from Wells:  </w:t>
      </w:r>
      <w:r>
        <w:t>will reach out to their GNMA representative(s) to discuss the additional RFS loan level fields and timing for implementing them. All GinnieMae servicers are encouraged to do so.</w:t>
      </w:r>
      <w:r w:rsidR="003C4E00">
        <w:t xml:space="preserve">  Justin Burch’s rep</w:t>
      </w:r>
      <w:r w:rsidR="0008071B">
        <w:t>resentative said they were</w:t>
      </w:r>
      <w:r w:rsidR="003C4E00">
        <w:t xml:space="preserve"> not aware of these changes.  </w:t>
      </w:r>
      <w:r w:rsidR="0008071B">
        <w:t>We may need to wait until October to reach back out.</w:t>
      </w:r>
    </w:p>
    <w:p w14:paraId="7DD42377" w14:textId="75A7C025" w:rsidR="00C15FF0" w:rsidRPr="0008071B" w:rsidRDefault="00E277B4" w:rsidP="0008071B">
      <w:pPr>
        <w:rPr>
          <w:color w:val="00162F" w:themeColor="accent5" w:themeShade="1A"/>
        </w:rPr>
      </w:pPr>
      <w:r>
        <w:rPr>
          <w:color w:val="00162F" w:themeColor="accent5" w:themeShade="1A"/>
        </w:rPr>
        <w:t>McCracken:</w:t>
      </w:r>
    </w:p>
    <w:p w14:paraId="2D51C68B" w14:textId="7AE56479" w:rsidR="00265F59" w:rsidRPr="00DE508A" w:rsidRDefault="00265F59" w:rsidP="00265F59">
      <w:pPr>
        <w:pStyle w:val="ListParagraph"/>
        <w:numPr>
          <w:ilvl w:val="0"/>
          <w:numId w:val="10"/>
        </w:numPr>
        <w:rPr>
          <w:rFonts w:eastAsiaTheme="minorHAnsi"/>
          <w:color w:val="061115"/>
        </w:rPr>
      </w:pPr>
      <w:r>
        <w:rPr>
          <w:color w:val="00162F" w:themeColor="accent5" w:themeShade="1A"/>
        </w:rPr>
        <w:t xml:space="preserve">Per Denice’s request, </w:t>
      </w:r>
      <w:r w:rsidRPr="00DE508A">
        <w:rPr>
          <w:color w:val="00162F" w:themeColor="accent5" w:themeShade="1A"/>
        </w:rPr>
        <w:t>Joan revise</w:t>
      </w:r>
      <w:r>
        <w:rPr>
          <w:color w:val="00162F" w:themeColor="accent5" w:themeShade="1A"/>
        </w:rPr>
        <w:t>d</w:t>
      </w:r>
      <w:r w:rsidRPr="00DE508A">
        <w:rPr>
          <w:color w:val="00162F" w:themeColor="accent5" w:themeShade="1A"/>
        </w:rPr>
        <w:t xml:space="preserve"> BRD for Job 20237 to include a </w:t>
      </w:r>
      <w:r w:rsidRPr="00DE508A">
        <w:rPr>
          <w:color w:val="061115"/>
        </w:rPr>
        <w:t>precursor step to purge orphaned records; collateral record has already been purged.  Also, include a report to show the orphan records.  Publish</w:t>
      </w:r>
      <w:r>
        <w:rPr>
          <w:color w:val="061115"/>
        </w:rPr>
        <w:t>ed</w:t>
      </w:r>
      <w:r w:rsidRPr="00DE508A">
        <w:rPr>
          <w:color w:val="061115"/>
        </w:rPr>
        <w:t xml:space="preserve"> the updated BRD to the website.</w:t>
      </w:r>
    </w:p>
    <w:p w14:paraId="2ECDEEE0" w14:textId="77777777" w:rsidR="00265F59" w:rsidRDefault="00265F59" w:rsidP="00B0660E">
      <w:pPr>
        <w:pStyle w:val="ListParagraph"/>
        <w:rPr>
          <w:rFonts w:eastAsiaTheme="minorHAnsi"/>
          <w:color w:val="061115"/>
        </w:rPr>
      </w:pPr>
    </w:p>
    <w:p w14:paraId="6D75D193" w14:textId="7A3A95DC" w:rsidR="00E277B4" w:rsidRDefault="00E277B4" w:rsidP="00E277B4">
      <w:pPr>
        <w:pStyle w:val="ListParagraph"/>
        <w:numPr>
          <w:ilvl w:val="0"/>
          <w:numId w:val="10"/>
        </w:numPr>
        <w:rPr>
          <w:color w:val="00162F" w:themeColor="accent5" w:themeShade="1A"/>
        </w:rPr>
      </w:pPr>
      <w:r>
        <w:rPr>
          <w:color w:val="00162F" w:themeColor="accent5" w:themeShade="1A"/>
        </w:rPr>
        <w:t xml:space="preserve">Karla </w:t>
      </w:r>
      <w:r w:rsidR="003B4636">
        <w:rPr>
          <w:color w:val="00162F" w:themeColor="accent5" w:themeShade="1A"/>
        </w:rPr>
        <w:t>ask</w:t>
      </w:r>
      <w:r w:rsidR="00B0660E">
        <w:rPr>
          <w:color w:val="00162F" w:themeColor="accent5" w:themeShade="1A"/>
        </w:rPr>
        <w:t>ed</w:t>
      </w:r>
      <w:r w:rsidR="003B4636">
        <w:rPr>
          <w:color w:val="00162F" w:themeColor="accent5" w:themeShade="1A"/>
        </w:rPr>
        <w:t xml:space="preserve"> Wells Fargo if they’ve encountered the pro rata share error message issue for </w:t>
      </w:r>
      <w:r>
        <w:rPr>
          <w:color w:val="00162F" w:themeColor="accent5" w:themeShade="1A"/>
        </w:rPr>
        <w:t>Job 21036</w:t>
      </w:r>
      <w:r w:rsidR="003B4636">
        <w:rPr>
          <w:color w:val="00162F" w:themeColor="accent5" w:themeShade="1A"/>
        </w:rPr>
        <w:t xml:space="preserve">. </w:t>
      </w:r>
      <w:r>
        <w:rPr>
          <w:color w:val="00162F" w:themeColor="accent5" w:themeShade="1A"/>
        </w:rPr>
        <w:t xml:space="preserve"> </w:t>
      </w:r>
      <w:r w:rsidR="0076464D">
        <w:rPr>
          <w:color w:val="00162F" w:themeColor="accent5" w:themeShade="1A"/>
        </w:rPr>
        <w:t xml:space="preserve">Wells will </w:t>
      </w:r>
      <w:r w:rsidR="003B4636">
        <w:rPr>
          <w:color w:val="00162F" w:themeColor="accent5" w:themeShade="1A"/>
        </w:rPr>
        <w:t xml:space="preserve">need to submit </w:t>
      </w:r>
      <w:r w:rsidR="0076464D">
        <w:rPr>
          <w:color w:val="00162F" w:themeColor="accent5" w:themeShade="1A"/>
        </w:rPr>
        <w:t>example when this issue occurs again so Karla can recreate the scenario.</w:t>
      </w:r>
    </w:p>
    <w:p w14:paraId="0E795A73" w14:textId="77F29461" w:rsidR="00AE30B9" w:rsidRDefault="00AE30B9" w:rsidP="00AE30B9">
      <w:pPr>
        <w:pStyle w:val="ListParagraph"/>
        <w:numPr>
          <w:ilvl w:val="0"/>
          <w:numId w:val="10"/>
        </w:numPr>
        <w:rPr>
          <w:color w:val="00162F" w:themeColor="accent5" w:themeShade="1A"/>
        </w:rPr>
      </w:pPr>
      <w:r>
        <w:rPr>
          <w:color w:val="00162F" w:themeColor="accent5" w:themeShade="1A"/>
        </w:rPr>
        <w:lastRenderedPageBreak/>
        <w:t>Karla is still waiting to receive the GinnieMae construction pool reporting scenarios from customers.  These must be received and reviewed before additional calls can be scheduled to discuss these requirements and the accounting entries.</w:t>
      </w:r>
      <w:r w:rsidR="001F7CD0">
        <w:rPr>
          <w:color w:val="00162F" w:themeColor="accent5" w:themeShade="1A"/>
        </w:rPr>
        <w:t xml:space="preserve">  Justin at Cap</w:t>
      </w:r>
      <w:r w:rsidR="00DE508A">
        <w:rPr>
          <w:color w:val="00162F" w:themeColor="accent5" w:themeShade="1A"/>
        </w:rPr>
        <w:t>ital</w:t>
      </w:r>
      <w:r w:rsidR="001F7CD0">
        <w:rPr>
          <w:color w:val="00162F" w:themeColor="accent5" w:themeShade="1A"/>
        </w:rPr>
        <w:t xml:space="preserve"> One </w:t>
      </w:r>
      <w:r w:rsidR="00DE508A">
        <w:rPr>
          <w:color w:val="00162F" w:themeColor="accent5" w:themeShade="1A"/>
        </w:rPr>
        <w:t xml:space="preserve">asked to be contacted to go over the </w:t>
      </w:r>
      <w:r w:rsidR="001F7CD0">
        <w:rPr>
          <w:color w:val="00162F" w:themeColor="accent5" w:themeShade="1A"/>
        </w:rPr>
        <w:t xml:space="preserve">details of </w:t>
      </w:r>
      <w:r w:rsidR="00DE508A">
        <w:rPr>
          <w:color w:val="00162F" w:themeColor="accent5" w:themeShade="1A"/>
        </w:rPr>
        <w:t>the documentation</w:t>
      </w:r>
      <w:r w:rsidR="001F7CD0">
        <w:rPr>
          <w:color w:val="00162F" w:themeColor="accent5" w:themeShade="1A"/>
        </w:rPr>
        <w:t>.</w:t>
      </w:r>
      <w:r w:rsidR="00B0660E">
        <w:rPr>
          <w:color w:val="00162F" w:themeColor="accent5" w:themeShade="1A"/>
        </w:rPr>
        <w:t xml:space="preserve">  Karla will </w:t>
      </w:r>
      <w:r w:rsidR="004220A0">
        <w:rPr>
          <w:color w:val="00162F" w:themeColor="accent5" w:themeShade="1A"/>
        </w:rPr>
        <w:t xml:space="preserve">individually </w:t>
      </w:r>
      <w:r w:rsidR="00B0660E">
        <w:rPr>
          <w:color w:val="00162F" w:themeColor="accent5" w:themeShade="1A"/>
        </w:rPr>
        <w:t xml:space="preserve">reach out to </w:t>
      </w:r>
      <w:r w:rsidR="004220A0">
        <w:rPr>
          <w:color w:val="00162F" w:themeColor="accent5" w:themeShade="1A"/>
        </w:rPr>
        <w:t xml:space="preserve">the </w:t>
      </w:r>
      <w:r w:rsidR="00B0660E">
        <w:rPr>
          <w:color w:val="00162F" w:themeColor="accent5" w:themeShade="1A"/>
        </w:rPr>
        <w:t>GinnieMae servicers to discuss.</w:t>
      </w:r>
      <w:r w:rsidR="0008071B">
        <w:rPr>
          <w:color w:val="00162F" w:themeColor="accent5" w:themeShade="1A"/>
        </w:rPr>
        <w:t xml:space="preserve">   This probably won’t occur until later in the year.</w:t>
      </w:r>
    </w:p>
    <w:p w14:paraId="353FA1EF" w14:textId="4411240A" w:rsidR="00001C16" w:rsidRPr="00B46E23" w:rsidRDefault="00001C16" w:rsidP="00001C16">
      <w:pPr>
        <w:pStyle w:val="ListParagraph"/>
        <w:numPr>
          <w:ilvl w:val="0"/>
          <w:numId w:val="10"/>
        </w:numPr>
        <w:spacing w:after="160"/>
        <w:jc w:val="both"/>
        <w:rPr>
          <w:rFonts w:eastAsiaTheme="minorHAnsi"/>
        </w:rPr>
      </w:pPr>
      <w:bookmarkStart w:id="0" w:name="_Hlk74056881"/>
      <w:r w:rsidRPr="00153C0D">
        <w:rPr>
          <w:color w:val="00162F" w:themeColor="accent5" w:themeShade="1A"/>
        </w:rPr>
        <w:t xml:space="preserve">Karla </w:t>
      </w:r>
      <w:r w:rsidR="004220A0">
        <w:rPr>
          <w:color w:val="00162F" w:themeColor="accent5" w:themeShade="1A"/>
        </w:rPr>
        <w:t>discuss</w:t>
      </w:r>
      <w:r>
        <w:rPr>
          <w:color w:val="00162F" w:themeColor="accent5" w:themeShade="1A"/>
        </w:rPr>
        <w:t>ed Ginnie</w:t>
      </w:r>
      <w:r w:rsidR="00D94D45">
        <w:rPr>
          <w:color w:val="00162F" w:themeColor="accent5" w:themeShade="1A"/>
        </w:rPr>
        <w:t xml:space="preserve"> </w:t>
      </w:r>
      <w:r>
        <w:rPr>
          <w:color w:val="00162F" w:themeColor="accent5" w:themeShade="1A"/>
        </w:rPr>
        <w:t>Mae</w:t>
      </w:r>
      <w:r w:rsidR="004220A0">
        <w:rPr>
          <w:color w:val="00162F" w:themeColor="accent5" w:themeShade="1A"/>
        </w:rPr>
        <w:t>’s</w:t>
      </w:r>
      <w:r>
        <w:rPr>
          <w:color w:val="00162F" w:themeColor="accent5" w:themeShade="1A"/>
        </w:rPr>
        <w:t xml:space="preserve"> </w:t>
      </w:r>
      <w:r w:rsidR="004220A0">
        <w:rPr>
          <w:color w:val="00162F" w:themeColor="accent5" w:themeShade="1A"/>
        </w:rPr>
        <w:t>intention to</w:t>
      </w:r>
      <w:r>
        <w:rPr>
          <w:color w:val="00162F" w:themeColor="accent5" w:themeShade="1A"/>
        </w:rPr>
        <w:t xml:space="preserve"> </w:t>
      </w:r>
      <w:r w:rsidR="004220A0">
        <w:rPr>
          <w:color w:val="00162F" w:themeColor="accent5" w:themeShade="1A"/>
        </w:rPr>
        <w:t xml:space="preserve">expand </w:t>
      </w:r>
      <w:r>
        <w:rPr>
          <w:color w:val="00162F" w:themeColor="accent5" w:themeShade="1A"/>
        </w:rPr>
        <w:t xml:space="preserve">the RFS Expanded Data Collection (Loan Level) file.  Currently, they are proposing to add 13 new loan level data elements.  Proposed additions would require both front end and back-end Strategy changes.  The anticipated APM Issuance Date for the changes is November 2021.  </w:t>
      </w:r>
      <w:r>
        <w:t xml:space="preserve">Thereafter, ample time (usually 6 to 9 months) for testing and adjustment time will be provided and communicated to all Issuers.  Actual timeframe and considerations are not available </w:t>
      </w:r>
      <w:r w:rsidR="00242E27">
        <w:t>currently</w:t>
      </w:r>
      <w:r>
        <w:t>. They requested that further questions be reserved until Ginnie Mae communications and the APM are released.  </w:t>
      </w:r>
      <w:r w:rsidR="0008071B">
        <w:t xml:space="preserve"> </w:t>
      </w:r>
    </w:p>
    <w:bookmarkEnd w:id="0"/>
    <w:p w14:paraId="64121CBC" w14:textId="3E8648F6" w:rsidR="003952BD" w:rsidRPr="004220A0" w:rsidRDefault="003B4636" w:rsidP="00001C16">
      <w:pPr>
        <w:pStyle w:val="ListParagraph"/>
        <w:numPr>
          <w:ilvl w:val="0"/>
          <w:numId w:val="10"/>
        </w:numPr>
        <w:rPr>
          <w:color w:val="00162F" w:themeColor="accent5" w:themeShade="1A"/>
        </w:rPr>
      </w:pPr>
      <w:r>
        <w:rPr>
          <w:color w:val="061115"/>
        </w:rPr>
        <w:t xml:space="preserve">Karen </w:t>
      </w:r>
      <w:r w:rsidR="001F7CD0">
        <w:rPr>
          <w:color w:val="061115"/>
        </w:rPr>
        <w:t>had the</w:t>
      </w:r>
      <w:r>
        <w:rPr>
          <w:color w:val="061115"/>
        </w:rPr>
        <w:t xml:space="preserve"> writeup</w:t>
      </w:r>
      <w:r w:rsidR="001F7CD0">
        <w:rPr>
          <w:color w:val="061115"/>
        </w:rPr>
        <w:t>s</w:t>
      </w:r>
      <w:r>
        <w:rPr>
          <w:color w:val="061115"/>
        </w:rPr>
        <w:t xml:space="preserve"> of investor transfer scenarios </w:t>
      </w:r>
      <w:r w:rsidR="004220A0">
        <w:rPr>
          <w:color w:val="061115"/>
        </w:rPr>
        <w:t xml:space="preserve">published </w:t>
      </w:r>
      <w:r w:rsidR="001F7CD0">
        <w:rPr>
          <w:color w:val="061115"/>
        </w:rPr>
        <w:t xml:space="preserve">to the </w:t>
      </w:r>
      <w:r w:rsidR="004220A0">
        <w:rPr>
          <w:color w:val="061115"/>
        </w:rPr>
        <w:t xml:space="preserve">MFS </w:t>
      </w:r>
      <w:r w:rsidR="001F7CD0">
        <w:rPr>
          <w:color w:val="061115"/>
        </w:rPr>
        <w:t>website in April.  Customers should review the documentation to let us know if they need to provide additional scenarios and/or issues</w:t>
      </w:r>
      <w:r>
        <w:rPr>
          <w:color w:val="061115"/>
        </w:rPr>
        <w:t xml:space="preserve">.  </w:t>
      </w:r>
      <w:r w:rsidR="001F7CD0">
        <w:rPr>
          <w:color w:val="061115"/>
        </w:rPr>
        <w:t xml:space="preserve">If nothing received in next couple months, MFS should proceed with the project.  </w:t>
      </w:r>
    </w:p>
    <w:p w14:paraId="40A9ECD8" w14:textId="51EFEE63" w:rsidR="004220A0" w:rsidRDefault="004220A0" w:rsidP="00001C16">
      <w:pPr>
        <w:pStyle w:val="ListParagraph"/>
        <w:numPr>
          <w:ilvl w:val="0"/>
          <w:numId w:val="10"/>
        </w:numPr>
        <w:rPr>
          <w:color w:val="00162F" w:themeColor="accent5" w:themeShade="1A"/>
        </w:rPr>
      </w:pPr>
      <w:r w:rsidRPr="00DE508A">
        <w:t xml:space="preserve">Job 14616 - </w:t>
      </w:r>
      <w:r w:rsidRPr="00DE508A">
        <w:rPr>
          <w:rFonts w:cs="Times New Roman"/>
        </w:rPr>
        <w:t>MFS to check why the ‘# of days to Protect Original User’s Loan Group’ field on the Library Backup Information&gt;Account Housekeeping screen isn’t working</w:t>
      </w:r>
    </w:p>
    <w:p w14:paraId="26330850" w14:textId="4853D1B0" w:rsidR="00E277B4" w:rsidRPr="00153C0D" w:rsidRDefault="00E277B4" w:rsidP="00153C0D">
      <w:pPr>
        <w:spacing w:after="0" w:line="240" w:lineRule="auto"/>
        <w:rPr>
          <w:rFonts w:eastAsia="Times New Roman"/>
        </w:rPr>
      </w:pPr>
    </w:p>
    <w:tbl>
      <w:tblPr>
        <w:tblW w:w="5400" w:type="pct"/>
        <w:tblInd w:w="-180" w:type="dxa"/>
        <w:tblCellMar>
          <w:left w:w="0" w:type="dxa"/>
          <w:right w:w="0" w:type="dxa"/>
        </w:tblCellMar>
        <w:tblLook w:val="04A0" w:firstRow="1" w:lastRow="0" w:firstColumn="1" w:lastColumn="0" w:noHBand="0" w:noVBand="1"/>
      </w:tblPr>
      <w:tblGrid>
        <w:gridCol w:w="10109"/>
      </w:tblGrid>
      <w:tr w:rsidR="00C15FF0" w14:paraId="5ECFBA83" w14:textId="77777777" w:rsidTr="00C15FF0">
        <w:tc>
          <w:tcPr>
            <w:tcW w:w="6930" w:type="dxa"/>
            <w:tcBorders>
              <w:top w:val="nil"/>
              <w:left w:val="nil"/>
              <w:bottom w:val="double" w:sz="4" w:space="0" w:color="7F7F7F"/>
              <w:right w:val="nil"/>
            </w:tcBorders>
            <w:tcMar>
              <w:top w:w="144" w:type="dxa"/>
              <w:left w:w="115" w:type="dxa"/>
              <w:bottom w:w="144" w:type="dxa"/>
              <w:right w:w="115" w:type="dxa"/>
            </w:tcMar>
            <w:hideMark/>
          </w:tcPr>
          <w:p w14:paraId="76C9DEE1" w14:textId="77777777" w:rsidR="00C15FF0" w:rsidRDefault="00C15FF0">
            <w:pPr>
              <w:pStyle w:val="Heading3"/>
              <w:spacing w:before="0" w:after="0" w:line="240" w:lineRule="auto"/>
              <w:rPr>
                <w:rFonts w:eastAsia="Times New Roman"/>
              </w:rPr>
            </w:pPr>
            <w:r>
              <w:rPr>
                <w:rFonts w:eastAsia="Times New Roman"/>
              </w:rPr>
              <w:t>Review List of Jobs below</w:t>
            </w:r>
          </w:p>
          <w:p w14:paraId="39785BEB" w14:textId="77777777" w:rsidR="00C15FF0" w:rsidRDefault="00C15FF0" w:rsidP="00C15FF0">
            <w:pPr>
              <w:pStyle w:val="ListParagraph"/>
              <w:numPr>
                <w:ilvl w:val="1"/>
                <w:numId w:val="14"/>
              </w:numPr>
              <w:spacing w:after="160" w:line="252" w:lineRule="auto"/>
              <w:rPr>
                <w:rFonts w:eastAsiaTheme="minorHAnsi"/>
              </w:rPr>
            </w:pPr>
            <w:r>
              <w:t>List of Changes and Enhancements for Review/Requirements</w:t>
            </w:r>
          </w:p>
          <w:p w14:paraId="596B1BB7" w14:textId="77777777" w:rsidR="00C15FF0" w:rsidRDefault="00C15FF0" w:rsidP="00C15FF0">
            <w:pPr>
              <w:pStyle w:val="ListParagraph"/>
              <w:numPr>
                <w:ilvl w:val="2"/>
                <w:numId w:val="14"/>
              </w:numPr>
              <w:spacing w:after="160" w:line="252" w:lineRule="auto"/>
            </w:pPr>
            <w:r>
              <w:t>Still needed?</w:t>
            </w:r>
          </w:p>
          <w:p w14:paraId="7D13110C" w14:textId="77777777" w:rsidR="00C15FF0" w:rsidRDefault="00C15FF0" w:rsidP="00C15FF0">
            <w:pPr>
              <w:pStyle w:val="ListParagraph"/>
              <w:numPr>
                <w:ilvl w:val="3"/>
                <w:numId w:val="14"/>
              </w:numPr>
              <w:spacing w:after="160" w:line="252" w:lineRule="auto"/>
            </w:pPr>
            <w:r>
              <w:t xml:space="preserve">If Yes, Requirements required </w:t>
            </w:r>
          </w:p>
          <w:p w14:paraId="5F81E3D5" w14:textId="77777777" w:rsidR="00C15FF0" w:rsidRDefault="00C15FF0" w:rsidP="00C15FF0">
            <w:pPr>
              <w:pStyle w:val="ListParagraph"/>
              <w:numPr>
                <w:ilvl w:val="2"/>
                <w:numId w:val="14"/>
              </w:numPr>
              <w:spacing w:after="160" w:line="252" w:lineRule="auto"/>
            </w:pPr>
            <w:r>
              <w:t>Priority</w:t>
            </w:r>
          </w:p>
          <w:p w14:paraId="703A681E" w14:textId="77777777" w:rsidR="00C15FF0" w:rsidRDefault="00C15FF0" w:rsidP="00C15FF0">
            <w:pPr>
              <w:pStyle w:val="ListParagraph"/>
              <w:numPr>
                <w:ilvl w:val="3"/>
                <w:numId w:val="14"/>
              </w:numPr>
              <w:spacing w:after="160" w:line="252" w:lineRule="auto"/>
            </w:pPr>
            <w:r>
              <w:t>Is there a required timeline?</w:t>
            </w:r>
          </w:p>
          <w:p w14:paraId="150E4091" w14:textId="7096296B" w:rsidR="004220A0" w:rsidRDefault="004220A0" w:rsidP="004220A0">
            <w:pPr>
              <w:pStyle w:val="ListParagraph"/>
              <w:numPr>
                <w:ilvl w:val="1"/>
                <w:numId w:val="14"/>
              </w:numPr>
              <w:spacing w:after="160" w:line="252" w:lineRule="auto"/>
            </w:pPr>
            <w:r>
              <w:t xml:space="preserve">Job 20237 – Collateral Purge – </w:t>
            </w:r>
            <w:hyperlink r:id="rId8" w:history="1">
              <w:r>
                <w:rPr>
                  <w:rStyle w:val="Hyperlink"/>
                </w:rPr>
                <w:t>Review BRD</w:t>
              </w:r>
            </w:hyperlink>
            <w:r w:rsidR="00414B74">
              <w:t>; Denise opened the BRD up and did a quick review of the Use Cases in the BRD.  Eloy mentioned POPMST and POPDTLS should be added to the list</w:t>
            </w:r>
            <w:r w:rsidR="0008071B">
              <w:t xml:space="preserve"> but we were looking at an outdated BRD.  The updated version on the website has these files included.  Customers would like the BRD to be revised to include a new system control setting for purging the file maintenance history log</w:t>
            </w:r>
            <w:r w:rsidR="00414B74">
              <w:t xml:space="preserve"> </w:t>
            </w:r>
            <w:r w:rsidR="0008071B">
              <w:t>(PFMHST)</w:t>
            </w:r>
            <w:r w:rsidR="00A71F86">
              <w:t xml:space="preserve">.  </w:t>
            </w:r>
            <w:r w:rsidR="00414B74">
              <w:t xml:space="preserve"> </w:t>
            </w:r>
          </w:p>
        </w:tc>
      </w:tr>
      <w:tr w:rsidR="00C15FF0" w14:paraId="5FF25474" w14:textId="77777777" w:rsidTr="00C15FF0">
        <w:tc>
          <w:tcPr>
            <w:tcW w:w="6930" w:type="dxa"/>
            <w:tcBorders>
              <w:top w:val="nil"/>
              <w:left w:val="nil"/>
              <w:bottom w:val="double" w:sz="4" w:space="0" w:color="7F7F7F"/>
              <w:right w:val="nil"/>
            </w:tcBorders>
            <w:tcMar>
              <w:top w:w="144" w:type="dxa"/>
              <w:left w:w="115" w:type="dxa"/>
              <w:bottom w:w="144" w:type="dxa"/>
              <w:right w:w="115" w:type="dxa"/>
            </w:tcMar>
            <w:hideMark/>
          </w:tcPr>
          <w:p w14:paraId="62332A80" w14:textId="1D02E6DD" w:rsidR="00C15FF0" w:rsidRDefault="00C15FF0">
            <w:pPr>
              <w:pStyle w:val="Heading3"/>
              <w:spacing w:before="0" w:after="0" w:line="240" w:lineRule="auto"/>
              <w:rPr>
                <w:rFonts w:eastAsia="Times New Roman"/>
              </w:rPr>
            </w:pPr>
            <w:r>
              <w:rPr>
                <w:rFonts w:eastAsia="Times New Roman"/>
              </w:rPr>
              <w:t xml:space="preserve">McCracken Updates / Needs </w:t>
            </w:r>
            <w:r w:rsidR="00AD0112">
              <w:rPr>
                <w:rFonts w:eastAsia="Times New Roman"/>
              </w:rPr>
              <w:t>– Updates are provided above in the Follow Up section for each topic discussed.</w:t>
            </w:r>
          </w:p>
        </w:tc>
      </w:tr>
      <w:tr w:rsidR="00C15FF0" w14:paraId="5CFDFD6C" w14:textId="77777777" w:rsidTr="00C15FF0">
        <w:tc>
          <w:tcPr>
            <w:tcW w:w="6930" w:type="dxa"/>
            <w:tcBorders>
              <w:top w:val="nil"/>
              <w:left w:val="nil"/>
              <w:bottom w:val="double" w:sz="4" w:space="0" w:color="7F7F7F"/>
              <w:right w:val="nil"/>
            </w:tcBorders>
            <w:tcMar>
              <w:top w:w="144" w:type="dxa"/>
              <w:left w:w="115" w:type="dxa"/>
              <w:bottom w:w="144" w:type="dxa"/>
              <w:right w:w="115" w:type="dxa"/>
            </w:tcMar>
            <w:hideMark/>
          </w:tcPr>
          <w:p w14:paraId="6E9ECBD1" w14:textId="2CAB1D65" w:rsidR="00C15FF0" w:rsidRDefault="00C15FF0">
            <w:pPr>
              <w:pStyle w:val="Heading3"/>
              <w:spacing w:before="0" w:after="0" w:line="240" w:lineRule="auto"/>
              <w:rPr>
                <w:rFonts w:eastAsia="Times New Roman"/>
              </w:rPr>
            </w:pPr>
            <w:r>
              <w:rPr>
                <w:rFonts w:eastAsia="Times New Roman"/>
              </w:rPr>
              <w:t>New Topics/Requests</w:t>
            </w:r>
            <w:r w:rsidR="00AD0112">
              <w:rPr>
                <w:rFonts w:eastAsia="Times New Roman"/>
              </w:rPr>
              <w:t xml:space="preserve"> - None</w:t>
            </w:r>
          </w:p>
        </w:tc>
      </w:tr>
    </w:tbl>
    <w:p w14:paraId="18AE1A64" w14:textId="77777777" w:rsidR="00C15FF0" w:rsidRPr="00153C0D" w:rsidRDefault="00C15FF0" w:rsidP="00C15FF0">
      <w:pPr>
        <w:pStyle w:val="Heading3"/>
        <w:spacing w:before="0" w:after="0" w:line="240" w:lineRule="auto"/>
        <w:ind w:left="1440"/>
        <w:rPr>
          <w:rFonts w:ascii="Times New Roman" w:eastAsia="Times New Roman" w:hAnsi="Times New Roman" w:cs="Times New Roman"/>
          <w:b w:val="0"/>
          <w:bCs w:val="0"/>
        </w:rPr>
      </w:pPr>
    </w:p>
    <w:p w14:paraId="760A0E1A" w14:textId="77777777" w:rsidR="00C15FF0" w:rsidRDefault="00C15FF0" w:rsidP="00C15FF0">
      <w:pPr>
        <w:pStyle w:val="Heading3"/>
        <w:rPr>
          <w:rFonts w:eastAsia="Times New Roman"/>
        </w:rPr>
      </w:pPr>
      <w:r>
        <w:rPr>
          <w:rFonts w:eastAsia="Times New Roman"/>
        </w:rPr>
        <w:t xml:space="preserve">List of Changes and Enhancements </w:t>
      </w:r>
    </w:p>
    <w:tbl>
      <w:tblPr>
        <w:tblW w:w="9640" w:type="dxa"/>
        <w:tblCellMar>
          <w:left w:w="0" w:type="dxa"/>
          <w:right w:w="0" w:type="dxa"/>
        </w:tblCellMar>
        <w:tblLook w:val="04A0" w:firstRow="1" w:lastRow="0" w:firstColumn="1" w:lastColumn="0" w:noHBand="0" w:noVBand="1"/>
      </w:tblPr>
      <w:tblGrid>
        <w:gridCol w:w="10"/>
        <w:gridCol w:w="1110"/>
        <w:gridCol w:w="10"/>
        <w:gridCol w:w="1530"/>
        <w:gridCol w:w="10"/>
        <w:gridCol w:w="1650"/>
        <w:gridCol w:w="10"/>
        <w:gridCol w:w="5300"/>
        <w:gridCol w:w="10"/>
      </w:tblGrid>
      <w:tr w:rsidR="00C15FF0" w14:paraId="725A76F0" w14:textId="77777777" w:rsidTr="00AF0625">
        <w:trPr>
          <w:gridAfter w:val="1"/>
          <w:wAfter w:w="10" w:type="dxa"/>
          <w:trHeight w:val="630"/>
        </w:trPr>
        <w:tc>
          <w:tcPr>
            <w:tcW w:w="1120" w:type="dxa"/>
            <w:gridSpan w:val="2"/>
            <w:shd w:val="clear" w:color="auto" w:fill="003366"/>
            <w:tcMar>
              <w:top w:w="0" w:type="dxa"/>
              <w:left w:w="108" w:type="dxa"/>
              <w:bottom w:w="0" w:type="dxa"/>
              <w:right w:w="108" w:type="dxa"/>
            </w:tcMar>
            <w:vAlign w:val="center"/>
            <w:hideMark/>
          </w:tcPr>
          <w:p w14:paraId="7ACC04EF" w14:textId="77777777" w:rsidR="00C15FF0" w:rsidRDefault="00C15FF0">
            <w:pPr>
              <w:spacing w:after="0" w:line="240" w:lineRule="auto"/>
              <w:jc w:val="center"/>
              <w:rPr>
                <w:rFonts w:eastAsiaTheme="minorHAnsi" w:cs="Times New Roman"/>
                <w:b/>
                <w:bCs/>
                <w:color w:val="FFFFFF"/>
                <w:sz w:val="24"/>
                <w:szCs w:val="24"/>
              </w:rPr>
            </w:pPr>
            <w:r>
              <w:rPr>
                <w:rFonts w:cs="Times New Roman"/>
                <w:b/>
                <w:bCs/>
                <w:color w:val="FFFFFF"/>
                <w:sz w:val="24"/>
                <w:szCs w:val="24"/>
              </w:rPr>
              <w:t>Job Number</w:t>
            </w:r>
          </w:p>
        </w:tc>
        <w:tc>
          <w:tcPr>
            <w:tcW w:w="1540" w:type="dxa"/>
            <w:gridSpan w:val="2"/>
            <w:shd w:val="clear" w:color="auto" w:fill="003366"/>
            <w:tcMar>
              <w:top w:w="0" w:type="dxa"/>
              <w:left w:w="108" w:type="dxa"/>
              <w:bottom w:w="0" w:type="dxa"/>
              <w:right w:w="108" w:type="dxa"/>
            </w:tcMar>
            <w:vAlign w:val="center"/>
            <w:hideMark/>
          </w:tcPr>
          <w:p w14:paraId="7FE65103" w14:textId="77777777" w:rsidR="00C15FF0" w:rsidRDefault="00C15FF0">
            <w:pPr>
              <w:spacing w:after="0" w:line="240" w:lineRule="auto"/>
              <w:jc w:val="center"/>
              <w:rPr>
                <w:rFonts w:cs="Times New Roman"/>
                <w:b/>
                <w:bCs/>
                <w:color w:val="FFFFFF"/>
                <w:sz w:val="24"/>
                <w:szCs w:val="24"/>
              </w:rPr>
            </w:pPr>
            <w:r>
              <w:rPr>
                <w:rFonts w:cs="Times New Roman"/>
                <w:b/>
                <w:bCs/>
                <w:color w:val="FFFFFF"/>
                <w:sz w:val="24"/>
                <w:szCs w:val="24"/>
              </w:rPr>
              <w:t>Type</w:t>
            </w:r>
          </w:p>
        </w:tc>
        <w:tc>
          <w:tcPr>
            <w:tcW w:w="1660" w:type="dxa"/>
            <w:gridSpan w:val="2"/>
            <w:shd w:val="clear" w:color="auto" w:fill="003366"/>
            <w:tcMar>
              <w:top w:w="0" w:type="dxa"/>
              <w:left w:w="108" w:type="dxa"/>
              <w:bottom w:w="0" w:type="dxa"/>
              <w:right w:w="108" w:type="dxa"/>
            </w:tcMar>
            <w:vAlign w:val="center"/>
            <w:hideMark/>
          </w:tcPr>
          <w:p w14:paraId="41BEDA99" w14:textId="77777777" w:rsidR="00C15FF0" w:rsidRDefault="00C15FF0">
            <w:pPr>
              <w:spacing w:after="0" w:line="240" w:lineRule="auto"/>
              <w:jc w:val="center"/>
              <w:rPr>
                <w:rFonts w:cs="Times New Roman"/>
                <w:b/>
                <w:bCs/>
                <w:color w:val="FFFFFF"/>
                <w:sz w:val="24"/>
                <w:szCs w:val="24"/>
              </w:rPr>
            </w:pPr>
            <w:r>
              <w:rPr>
                <w:rFonts w:cs="Times New Roman"/>
                <w:b/>
                <w:bCs/>
                <w:color w:val="FFFFFF"/>
                <w:sz w:val="24"/>
                <w:szCs w:val="24"/>
              </w:rPr>
              <w:t>Feature</w:t>
            </w:r>
          </w:p>
        </w:tc>
        <w:tc>
          <w:tcPr>
            <w:tcW w:w="5310" w:type="dxa"/>
            <w:gridSpan w:val="2"/>
            <w:shd w:val="clear" w:color="auto" w:fill="003366"/>
            <w:tcMar>
              <w:top w:w="0" w:type="dxa"/>
              <w:left w:w="108" w:type="dxa"/>
              <w:bottom w:w="0" w:type="dxa"/>
              <w:right w:w="108" w:type="dxa"/>
            </w:tcMar>
            <w:vAlign w:val="center"/>
            <w:hideMark/>
          </w:tcPr>
          <w:p w14:paraId="51D4F8D2" w14:textId="77777777" w:rsidR="00C15FF0" w:rsidRDefault="00C15FF0">
            <w:pPr>
              <w:spacing w:after="0" w:line="240" w:lineRule="auto"/>
              <w:jc w:val="center"/>
              <w:rPr>
                <w:rFonts w:cs="Times New Roman"/>
                <w:b/>
                <w:bCs/>
                <w:color w:val="FFFFFF"/>
                <w:sz w:val="24"/>
                <w:szCs w:val="24"/>
              </w:rPr>
            </w:pPr>
            <w:r>
              <w:rPr>
                <w:rFonts w:cs="Times New Roman"/>
                <w:b/>
                <w:bCs/>
                <w:color w:val="FFFFFF"/>
                <w:sz w:val="24"/>
                <w:szCs w:val="24"/>
              </w:rPr>
              <w:t>Job Description</w:t>
            </w:r>
          </w:p>
        </w:tc>
      </w:tr>
      <w:tr w:rsidR="004220A0" w14:paraId="40C463E4" w14:textId="77777777" w:rsidTr="00AF0625">
        <w:trPr>
          <w:gridBefore w:val="1"/>
          <w:wBefore w:w="10" w:type="dxa"/>
          <w:trHeight w:val="900"/>
        </w:trPr>
        <w:tc>
          <w:tcPr>
            <w:tcW w:w="1120" w:type="dxa"/>
            <w:gridSpan w:val="2"/>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2F1ED476" w14:textId="77777777" w:rsidR="004220A0" w:rsidRDefault="004220A0">
            <w:pPr>
              <w:spacing w:after="0" w:line="240" w:lineRule="auto"/>
              <w:jc w:val="center"/>
              <w:rPr>
                <w:rFonts w:cs="Times New Roman"/>
                <w:sz w:val="23"/>
                <w:szCs w:val="23"/>
              </w:rPr>
            </w:pPr>
            <w:r>
              <w:rPr>
                <w:rFonts w:cs="Times New Roman"/>
              </w:rPr>
              <w:t>20237</w:t>
            </w:r>
          </w:p>
        </w:tc>
        <w:tc>
          <w:tcPr>
            <w:tcW w:w="1540" w:type="dxa"/>
            <w:gridSpan w:val="2"/>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CC97B3F" w14:textId="77777777" w:rsidR="004220A0" w:rsidRDefault="004220A0">
            <w:pPr>
              <w:spacing w:after="0" w:line="240" w:lineRule="auto"/>
              <w:jc w:val="center"/>
              <w:rPr>
                <w:rFonts w:cs="Times New Roman"/>
                <w:sz w:val="23"/>
                <w:szCs w:val="23"/>
              </w:rPr>
            </w:pPr>
            <w:r>
              <w:rPr>
                <w:rFonts w:cs="Times New Roman"/>
              </w:rPr>
              <w:t>Enhancement</w:t>
            </w:r>
          </w:p>
        </w:tc>
        <w:tc>
          <w:tcPr>
            <w:tcW w:w="1660" w:type="dxa"/>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688A0B8E" w14:textId="77777777" w:rsidR="004220A0" w:rsidRDefault="004220A0">
            <w:pPr>
              <w:spacing w:after="0" w:line="240" w:lineRule="auto"/>
              <w:jc w:val="center"/>
              <w:rPr>
                <w:rFonts w:cs="Times New Roman"/>
                <w:sz w:val="23"/>
                <w:szCs w:val="23"/>
              </w:rPr>
            </w:pPr>
            <w:r>
              <w:rPr>
                <w:rFonts w:cs="Times New Roman"/>
              </w:rPr>
              <w:t>Asset Management</w:t>
            </w:r>
          </w:p>
        </w:tc>
        <w:tc>
          <w:tcPr>
            <w:tcW w:w="5310" w:type="dxa"/>
            <w:gridSpan w:val="2"/>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12EA4777" w14:textId="28F0EF79" w:rsidR="004220A0" w:rsidRPr="00A71F86" w:rsidRDefault="004220A0">
            <w:pPr>
              <w:spacing w:after="0" w:line="240" w:lineRule="auto"/>
              <w:rPr>
                <w:rFonts w:cs="Times New Roman"/>
                <w:color w:val="FF0000"/>
                <w:sz w:val="23"/>
                <w:szCs w:val="23"/>
              </w:rPr>
            </w:pPr>
            <w:r>
              <w:rPr>
                <w:rFonts w:cs="Times New Roman"/>
              </w:rPr>
              <w:t xml:space="preserve">Create a collateral purge function that will delete the collateral record and all associated records (financials, lease, appraisal </w:t>
            </w:r>
            <w:r w:rsidR="00D94D45">
              <w:rPr>
                <w:rFonts w:cs="Times New Roman"/>
              </w:rPr>
              <w:t>etc.</w:t>
            </w:r>
            <w:r>
              <w:rPr>
                <w:rFonts w:cs="Times New Roman"/>
              </w:rPr>
              <w:t xml:space="preserve">), process will verify that the </w:t>
            </w:r>
            <w:r>
              <w:rPr>
                <w:rFonts w:cs="Times New Roman"/>
              </w:rPr>
              <w:lastRenderedPageBreak/>
              <w:t>collateral record is not associated with any loans.</w:t>
            </w:r>
            <w:r w:rsidR="00A71F86">
              <w:rPr>
                <w:rFonts w:cs="Times New Roman"/>
              </w:rPr>
              <w:t xml:space="preserve"> </w:t>
            </w:r>
            <w:r w:rsidR="00A71F86">
              <w:rPr>
                <w:rFonts w:cs="Times New Roman"/>
                <w:color w:val="FF0000"/>
              </w:rPr>
              <w:t>Assigned Priority -2</w:t>
            </w:r>
          </w:p>
        </w:tc>
      </w:tr>
      <w:tr w:rsidR="00AF0625" w14:paraId="31B24252" w14:textId="77777777" w:rsidTr="00AF0625">
        <w:trPr>
          <w:gridBefore w:val="1"/>
          <w:wBefore w:w="10" w:type="dxa"/>
          <w:trHeight w:val="600"/>
        </w:trPr>
        <w:tc>
          <w:tcPr>
            <w:tcW w:w="1120" w:type="dxa"/>
            <w:gridSpan w:val="2"/>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167C7CEA" w14:textId="77777777" w:rsidR="00AF0625" w:rsidRDefault="00AF0625">
            <w:pPr>
              <w:spacing w:after="0" w:line="240" w:lineRule="auto"/>
              <w:jc w:val="center"/>
              <w:rPr>
                <w:rFonts w:eastAsiaTheme="minorHAnsi" w:cs="Times New Roman"/>
                <w:sz w:val="23"/>
                <w:szCs w:val="23"/>
              </w:rPr>
            </w:pPr>
            <w:r>
              <w:rPr>
                <w:rFonts w:cs="Times New Roman"/>
                <w:sz w:val="23"/>
                <w:szCs w:val="23"/>
              </w:rPr>
              <w:lastRenderedPageBreak/>
              <w:t>19765</w:t>
            </w:r>
          </w:p>
        </w:tc>
        <w:tc>
          <w:tcPr>
            <w:tcW w:w="1540" w:type="dxa"/>
            <w:gridSpan w:val="2"/>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0D0DDE5" w14:textId="77777777" w:rsidR="00AF0625" w:rsidRDefault="00AF0625">
            <w:pPr>
              <w:spacing w:after="0" w:line="240" w:lineRule="auto"/>
              <w:jc w:val="center"/>
              <w:rPr>
                <w:rFonts w:cs="Times New Roman"/>
                <w:sz w:val="23"/>
                <w:szCs w:val="23"/>
              </w:rPr>
            </w:pPr>
            <w:r>
              <w:rPr>
                <w:rFonts w:cs="Times New Roman"/>
                <w:sz w:val="23"/>
                <w:szCs w:val="23"/>
              </w:rPr>
              <w:t>Enhancement</w:t>
            </w:r>
          </w:p>
        </w:tc>
        <w:tc>
          <w:tcPr>
            <w:tcW w:w="1660" w:type="dxa"/>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7DD7F92" w14:textId="77777777" w:rsidR="00AF0625" w:rsidRDefault="00AF0625">
            <w:pPr>
              <w:spacing w:after="0" w:line="240" w:lineRule="auto"/>
              <w:jc w:val="center"/>
              <w:rPr>
                <w:rFonts w:cs="Times New Roman"/>
                <w:sz w:val="23"/>
                <w:szCs w:val="23"/>
              </w:rPr>
            </w:pPr>
            <w:r>
              <w:rPr>
                <w:rFonts w:cs="Times New Roman"/>
                <w:sz w:val="23"/>
                <w:szCs w:val="23"/>
              </w:rPr>
              <w:t>Bills</w:t>
            </w:r>
          </w:p>
        </w:tc>
        <w:tc>
          <w:tcPr>
            <w:tcW w:w="5310" w:type="dxa"/>
            <w:gridSpan w:val="2"/>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7773D4A9" w14:textId="273BDB3F" w:rsidR="00AF0625" w:rsidRPr="00AF0625" w:rsidRDefault="00AF0625">
            <w:pPr>
              <w:spacing w:after="0" w:line="240" w:lineRule="auto"/>
              <w:rPr>
                <w:rFonts w:cs="Times New Roman"/>
                <w:color w:val="FF0000"/>
                <w:sz w:val="23"/>
                <w:szCs w:val="23"/>
              </w:rPr>
            </w:pPr>
            <w:r>
              <w:rPr>
                <w:rFonts w:cs="Times New Roman"/>
                <w:sz w:val="23"/>
                <w:szCs w:val="23"/>
              </w:rPr>
              <w:t xml:space="preserve">When using the standard Write Track bill and requesting a bill reprint 'N', if there is more than 1 bill for the same month, multiple bills print. Only the most recent bill should print.  </w:t>
            </w:r>
            <w:r>
              <w:rPr>
                <w:rFonts w:cs="Times New Roman"/>
                <w:color w:val="FF0000"/>
                <w:sz w:val="23"/>
                <w:szCs w:val="23"/>
              </w:rPr>
              <w:t>Customers will research further; assigned priority – 4 on 2/10/2021</w:t>
            </w:r>
          </w:p>
        </w:tc>
      </w:tr>
      <w:tr w:rsidR="004220A0" w14:paraId="70E4D35C" w14:textId="77777777" w:rsidTr="00AF0625">
        <w:trPr>
          <w:gridBefore w:val="1"/>
          <w:wBefore w:w="10" w:type="dxa"/>
          <w:trHeight w:val="1200"/>
        </w:trPr>
        <w:tc>
          <w:tcPr>
            <w:tcW w:w="1120" w:type="dxa"/>
            <w:gridSpan w:val="2"/>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4938FC7E" w14:textId="77777777" w:rsidR="004220A0" w:rsidRDefault="004220A0">
            <w:pPr>
              <w:spacing w:after="0" w:line="240" w:lineRule="auto"/>
              <w:jc w:val="center"/>
              <w:rPr>
                <w:rFonts w:cs="Times New Roman"/>
              </w:rPr>
            </w:pPr>
            <w:r>
              <w:rPr>
                <w:rFonts w:cs="Times New Roman"/>
                <w:sz w:val="23"/>
                <w:szCs w:val="23"/>
              </w:rPr>
              <w:t>20292</w:t>
            </w:r>
          </w:p>
        </w:tc>
        <w:tc>
          <w:tcPr>
            <w:tcW w:w="1540" w:type="dxa"/>
            <w:gridSpan w:val="2"/>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A3B3F5F" w14:textId="77777777" w:rsidR="004220A0" w:rsidRDefault="004220A0">
            <w:pPr>
              <w:spacing w:after="0" w:line="240" w:lineRule="auto"/>
              <w:jc w:val="center"/>
              <w:rPr>
                <w:rFonts w:cs="Times New Roman"/>
              </w:rPr>
            </w:pPr>
            <w:r>
              <w:rPr>
                <w:rFonts w:cs="Times New Roman"/>
                <w:sz w:val="23"/>
                <w:szCs w:val="23"/>
              </w:rPr>
              <w:t>Enhancement</w:t>
            </w:r>
          </w:p>
        </w:tc>
        <w:tc>
          <w:tcPr>
            <w:tcW w:w="1660" w:type="dxa"/>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3DFAF1EF" w14:textId="77777777" w:rsidR="004220A0" w:rsidRDefault="004220A0">
            <w:pPr>
              <w:spacing w:after="0" w:line="240" w:lineRule="auto"/>
              <w:jc w:val="center"/>
              <w:rPr>
                <w:rFonts w:cs="Times New Roman"/>
              </w:rPr>
            </w:pPr>
            <w:r>
              <w:rPr>
                <w:rFonts w:cs="Times New Roman"/>
                <w:sz w:val="23"/>
                <w:szCs w:val="23"/>
              </w:rPr>
              <w:t>Annual Statements (Forms)</w:t>
            </w:r>
          </w:p>
        </w:tc>
        <w:tc>
          <w:tcPr>
            <w:tcW w:w="5310" w:type="dxa"/>
            <w:gridSpan w:val="2"/>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5F20302B" w14:textId="7C4DE9F6" w:rsidR="004220A0" w:rsidRPr="00AF0625" w:rsidRDefault="004220A0">
            <w:pPr>
              <w:spacing w:after="0" w:line="240" w:lineRule="auto"/>
              <w:rPr>
                <w:rFonts w:cs="Times New Roman"/>
                <w:color w:val="FF0000"/>
              </w:rPr>
            </w:pPr>
            <w:r>
              <w:rPr>
                <w:rFonts w:cs="Times New Roman"/>
                <w:sz w:val="23"/>
                <w:szCs w:val="23"/>
              </w:rPr>
              <w:t xml:space="preserve">Tools&gt;Reports&gt;Account Status Summary&gt; Tools&gt;Periodic Processing&gt;Period End&gt;Annual Statements&gt; On the Account Status Summary and Annual Statement selection windows create an optional parameter for Suppress </w:t>
            </w:r>
            <w:r w:rsidR="00D94D45">
              <w:rPr>
                <w:rFonts w:cs="Times New Roman"/>
                <w:sz w:val="23"/>
                <w:szCs w:val="23"/>
              </w:rPr>
              <w:t>Misc.</w:t>
            </w:r>
            <w:r>
              <w:rPr>
                <w:rFonts w:cs="Times New Roman"/>
                <w:sz w:val="23"/>
                <w:szCs w:val="23"/>
              </w:rPr>
              <w:t xml:space="preserve"> Amounts beginning and ending balances Y/N. This should be for the standard and formatted statement options</w:t>
            </w:r>
            <w:r w:rsidR="00AF0625">
              <w:rPr>
                <w:rFonts w:cs="Times New Roman"/>
                <w:sz w:val="23"/>
                <w:szCs w:val="23"/>
              </w:rPr>
              <w:t xml:space="preserve">.  </w:t>
            </w:r>
            <w:r w:rsidR="00AF0625">
              <w:rPr>
                <w:rFonts w:cs="Times New Roman"/>
                <w:color w:val="FF0000"/>
                <w:sz w:val="23"/>
                <w:szCs w:val="23"/>
              </w:rPr>
              <w:t>Assigned Priority - 3</w:t>
            </w:r>
          </w:p>
        </w:tc>
      </w:tr>
      <w:tr w:rsidR="004220A0" w14:paraId="75B5D89A" w14:textId="77777777" w:rsidTr="00AF0625">
        <w:trPr>
          <w:gridBefore w:val="1"/>
          <w:wBefore w:w="10" w:type="dxa"/>
          <w:trHeight w:val="1200"/>
        </w:trPr>
        <w:tc>
          <w:tcPr>
            <w:tcW w:w="1120" w:type="dxa"/>
            <w:gridSpan w:val="2"/>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158D6649" w14:textId="77777777" w:rsidR="004220A0" w:rsidRDefault="004220A0">
            <w:pPr>
              <w:spacing w:after="0" w:line="240" w:lineRule="auto"/>
              <w:jc w:val="center"/>
              <w:rPr>
                <w:rFonts w:cs="Times New Roman"/>
                <w:sz w:val="23"/>
                <w:szCs w:val="23"/>
              </w:rPr>
            </w:pPr>
            <w:r>
              <w:rPr>
                <w:rFonts w:cs="Times New Roman"/>
              </w:rPr>
              <w:t>20649</w:t>
            </w:r>
          </w:p>
        </w:tc>
        <w:tc>
          <w:tcPr>
            <w:tcW w:w="1540" w:type="dxa"/>
            <w:gridSpan w:val="2"/>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6C99CDB7" w14:textId="77777777" w:rsidR="004220A0" w:rsidRDefault="004220A0">
            <w:pPr>
              <w:spacing w:after="0" w:line="240" w:lineRule="auto"/>
              <w:jc w:val="center"/>
              <w:rPr>
                <w:rFonts w:cs="Times New Roman"/>
                <w:sz w:val="23"/>
                <w:szCs w:val="23"/>
              </w:rPr>
            </w:pPr>
            <w:r>
              <w:rPr>
                <w:rFonts w:cs="Times New Roman"/>
              </w:rPr>
              <w:t>Change</w:t>
            </w:r>
          </w:p>
        </w:tc>
        <w:tc>
          <w:tcPr>
            <w:tcW w:w="1660" w:type="dxa"/>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6375E575" w14:textId="77777777" w:rsidR="004220A0" w:rsidRDefault="004220A0">
            <w:pPr>
              <w:spacing w:after="0" w:line="240" w:lineRule="auto"/>
              <w:jc w:val="center"/>
              <w:rPr>
                <w:rFonts w:cs="Times New Roman"/>
                <w:sz w:val="23"/>
                <w:szCs w:val="23"/>
              </w:rPr>
            </w:pPr>
            <w:r>
              <w:rPr>
                <w:rFonts w:cs="Times New Roman"/>
              </w:rPr>
              <w:t>Bills</w:t>
            </w:r>
          </w:p>
        </w:tc>
        <w:tc>
          <w:tcPr>
            <w:tcW w:w="5310" w:type="dxa"/>
            <w:gridSpan w:val="2"/>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3CF09CA2" w14:textId="5D5D54F2" w:rsidR="004220A0" w:rsidRPr="00AF0625" w:rsidRDefault="004220A0">
            <w:pPr>
              <w:spacing w:after="0" w:line="240" w:lineRule="auto"/>
              <w:rPr>
                <w:rFonts w:cs="Times New Roman"/>
                <w:color w:val="FF0000"/>
                <w:sz w:val="23"/>
                <w:szCs w:val="23"/>
              </w:rPr>
            </w:pPr>
            <w:r>
              <w:rPr>
                <w:rFonts w:cs="Times New Roman"/>
              </w:rPr>
              <w:t>Billing issue with MB471U: a loan was tied to an incorrect billing cycle code causing a bill to print when no receivable existed. The bill was printed and listed an escrow amount due from a previous loan. The bill should either not have printed or had zero amounts due. Instead</w:t>
            </w:r>
            <w:r w:rsidR="00D94D45">
              <w:rPr>
                <w:rFonts w:cs="Times New Roman"/>
              </w:rPr>
              <w:t xml:space="preserve">, </w:t>
            </w:r>
            <w:r>
              <w:rPr>
                <w:rFonts w:cs="Times New Roman"/>
              </w:rPr>
              <w:t>the escrow amount due from the previous loan was listed as the escrow due and total amount due.</w:t>
            </w:r>
            <w:r w:rsidR="00AF0625">
              <w:rPr>
                <w:rFonts w:cs="Times New Roman"/>
              </w:rPr>
              <w:t xml:space="preserve"> </w:t>
            </w:r>
            <w:r w:rsidR="00AF0625">
              <w:rPr>
                <w:rFonts w:cs="Times New Roman"/>
                <w:color w:val="FF0000"/>
              </w:rPr>
              <w:t>Key will research further.</w:t>
            </w:r>
          </w:p>
        </w:tc>
      </w:tr>
      <w:tr w:rsidR="004220A0" w14:paraId="651A4F31" w14:textId="77777777" w:rsidTr="00AF0625">
        <w:trPr>
          <w:gridBefore w:val="1"/>
          <w:wBefore w:w="10" w:type="dxa"/>
          <w:trHeight w:val="900"/>
        </w:trPr>
        <w:tc>
          <w:tcPr>
            <w:tcW w:w="1120" w:type="dxa"/>
            <w:gridSpan w:val="2"/>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5C437F69" w14:textId="77777777" w:rsidR="004220A0" w:rsidRDefault="004220A0">
            <w:pPr>
              <w:spacing w:after="0" w:line="240" w:lineRule="auto"/>
              <w:jc w:val="center"/>
              <w:rPr>
                <w:rFonts w:cs="Times New Roman"/>
                <w:sz w:val="23"/>
                <w:szCs w:val="23"/>
              </w:rPr>
            </w:pPr>
            <w:r>
              <w:rPr>
                <w:rFonts w:cs="Times New Roman"/>
              </w:rPr>
              <w:t>21171</w:t>
            </w:r>
          </w:p>
        </w:tc>
        <w:tc>
          <w:tcPr>
            <w:tcW w:w="1540" w:type="dxa"/>
            <w:gridSpan w:val="2"/>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47BB58A" w14:textId="77777777" w:rsidR="004220A0" w:rsidRDefault="004220A0">
            <w:pPr>
              <w:spacing w:after="0" w:line="240" w:lineRule="auto"/>
              <w:jc w:val="center"/>
              <w:rPr>
                <w:rFonts w:cs="Times New Roman"/>
                <w:sz w:val="23"/>
                <w:szCs w:val="23"/>
              </w:rPr>
            </w:pPr>
            <w:r>
              <w:rPr>
                <w:rFonts w:cs="Times New Roman"/>
              </w:rPr>
              <w:t>Change</w:t>
            </w:r>
          </w:p>
        </w:tc>
        <w:tc>
          <w:tcPr>
            <w:tcW w:w="1660" w:type="dxa"/>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38F0332B" w14:textId="77777777" w:rsidR="004220A0" w:rsidRDefault="004220A0">
            <w:pPr>
              <w:spacing w:after="0" w:line="240" w:lineRule="auto"/>
              <w:jc w:val="center"/>
              <w:rPr>
                <w:rFonts w:cs="Times New Roman"/>
                <w:sz w:val="23"/>
                <w:szCs w:val="23"/>
              </w:rPr>
            </w:pPr>
            <w:r>
              <w:rPr>
                <w:rFonts w:cs="Times New Roman"/>
              </w:rPr>
              <w:t>System Information</w:t>
            </w:r>
          </w:p>
        </w:tc>
        <w:tc>
          <w:tcPr>
            <w:tcW w:w="5310" w:type="dxa"/>
            <w:gridSpan w:val="2"/>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71E7CFC3" w14:textId="63753C7B" w:rsidR="004220A0" w:rsidRPr="00AF0625" w:rsidRDefault="004220A0">
            <w:pPr>
              <w:spacing w:after="0" w:line="240" w:lineRule="auto"/>
              <w:rPr>
                <w:rFonts w:cs="Times New Roman"/>
                <w:color w:val="FF0000"/>
                <w:sz w:val="23"/>
                <w:szCs w:val="23"/>
              </w:rPr>
            </w:pPr>
            <w:r>
              <w:rPr>
                <w:rFonts w:cs="Times New Roman"/>
              </w:rPr>
              <w:t>Customer would like the Bank DDA Number Description field to be expanded by 10-15 characters. It is currently at 30 characters.</w:t>
            </w:r>
            <w:r w:rsidR="00AF0625">
              <w:rPr>
                <w:rFonts w:cs="Times New Roman"/>
              </w:rPr>
              <w:t xml:space="preserve">  </w:t>
            </w:r>
            <w:r w:rsidR="00507B60">
              <w:rPr>
                <w:rFonts w:cs="Times New Roman"/>
                <w:color w:val="FF0000"/>
              </w:rPr>
              <w:t>Committee requests the field be expanded to 100 characters. (</w:t>
            </w:r>
            <w:r w:rsidR="00D94D45">
              <w:rPr>
                <w:rFonts w:cs="Times New Roman"/>
                <w:color w:val="FF0000"/>
              </w:rPr>
              <w:t>Amended</w:t>
            </w:r>
            <w:r w:rsidR="00507B60">
              <w:rPr>
                <w:rFonts w:cs="Times New Roman"/>
                <w:color w:val="FF0000"/>
              </w:rPr>
              <w:t xml:space="preserve"> via email 8/19</w:t>
            </w:r>
            <w:r w:rsidR="00D94D45">
              <w:rPr>
                <w:rFonts w:cs="Times New Roman"/>
                <w:color w:val="FF0000"/>
              </w:rPr>
              <w:t>).</w:t>
            </w:r>
          </w:p>
        </w:tc>
      </w:tr>
      <w:tr w:rsidR="004220A0" w14:paraId="441B1EF2" w14:textId="77777777" w:rsidTr="00AF0625">
        <w:trPr>
          <w:gridBefore w:val="1"/>
          <w:wBefore w:w="10" w:type="dxa"/>
          <w:trHeight w:val="600"/>
        </w:trPr>
        <w:tc>
          <w:tcPr>
            <w:tcW w:w="1120" w:type="dxa"/>
            <w:gridSpan w:val="2"/>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3D5D059C" w14:textId="77777777" w:rsidR="004220A0" w:rsidRDefault="004220A0">
            <w:pPr>
              <w:spacing w:after="0" w:line="240" w:lineRule="auto"/>
              <w:jc w:val="center"/>
              <w:rPr>
                <w:rFonts w:cs="Times New Roman"/>
                <w:sz w:val="23"/>
                <w:szCs w:val="23"/>
              </w:rPr>
            </w:pPr>
            <w:r>
              <w:rPr>
                <w:rFonts w:cs="Times New Roman"/>
              </w:rPr>
              <w:t>21204</w:t>
            </w:r>
          </w:p>
        </w:tc>
        <w:tc>
          <w:tcPr>
            <w:tcW w:w="1540" w:type="dxa"/>
            <w:gridSpan w:val="2"/>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4AD0059" w14:textId="77777777" w:rsidR="004220A0" w:rsidRDefault="004220A0">
            <w:pPr>
              <w:spacing w:after="0" w:line="240" w:lineRule="auto"/>
              <w:jc w:val="center"/>
              <w:rPr>
                <w:rFonts w:cs="Times New Roman"/>
                <w:sz w:val="23"/>
                <w:szCs w:val="23"/>
              </w:rPr>
            </w:pPr>
            <w:r>
              <w:rPr>
                <w:rFonts w:cs="Times New Roman"/>
              </w:rPr>
              <w:t>Change</w:t>
            </w:r>
          </w:p>
        </w:tc>
        <w:tc>
          <w:tcPr>
            <w:tcW w:w="1660" w:type="dxa"/>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6BF32587" w14:textId="77777777" w:rsidR="004220A0" w:rsidRDefault="004220A0">
            <w:pPr>
              <w:spacing w:after="0" w:line="240" w:lineRule="auto"/>
              <w:jc w:val="center"/>
              <w:rPr>
                <w:rFonts w:cs="Times New Roman"/>
                <w:sz w:val="23"/>
                <w:szCs w:val="23"/>
              </w:rPr>
            </w:pPr>
            <w:r>
              <w:rPr>
                <w:rFonts w:cs="Times New Roman"/>
              </w:rPr>
              <w:t>Security</w:t>
            </w:r>
          </w:p>
        </w:tc>
        <w:tc>
          <w:tcPr>
            <w:tcW w:w="5310" w:type="dxa"/>
            <w:gridSpan w:val="2"/>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69F3AC05" w14:textId="40336ABF" w:rsidR="004220A0" w:rsidRDefault="004220A0">
            <w:pPr>
              <w:spacing w:after="0" w:line="240" w:lineRule="auto"/>
              <w:rPr>
                <w:rFonts w:cs="Times New Roman"/>
                <w:sz w:val="23"/>
                <w:szCs w:val="23"/>
              </w:rPr>
            </w:pPr>
            <w:r>
              <w:rPr>
                <w:rFonts w:cs="Times New Roman"/>
              </w:rPr>
              <w:t>Portal, IRP Loan Reporting Widget.  Only Execute security is provided to this widget, however data may be entered or changed in the Widget. Provided read, write, delete, print security so that they can allow read only access to the widget.</w:t>
            </w:r>
            <w:r w:rsidR="00AF0625">
              <w:rPr>
                <w:rFonts w:cs="Times New Roman"/>
              </w:rPr>
              <w:t xml:space="preserve"> </w:t>
            </w:r>
            <w:r w:rsidR="00AF0625" w:rsidRPr="00AF0625">
              <w:rPr>
                <w:rFonts w:cs="Times New Roman"/>
                <w:color w:val="FF0000"/>
              </w:rPr>
              <w:t>MFS should review all Widgets and provide this security to all of them.  Denice mentioned the Master 2 widget specifically.</w:t>
            </w:r>
            <w:r w:rsidR="00AF0625">
              <w:rPr>
                <w:rFonts w:cs="Times New Roman"/>
                <w:color w:val="FF0000"/>
              </w:rPr>
              <w:t xml:space="preserve">  Assigned Priority - 1</w:t>
            </w:r>
          </w:p>
        </w:tc>
      </w:tr>
    </w:tbl>
    <w:p w14:paraId="035C1162" w14:textId="77777777" w:rsidR="00C15FF0" w:rsidRDefault="00C15FF0" w:rsidP="00C15FF0">
      <w:pPr>
        <w:pStyle w:val="Heading4"/>
        <w:rPr>
          <w:rFonts w:ascii="Calibri" w:eastAsia="Times New Roman" w:hAnsi="Calibri" w:cs="Calibri"/>
          <w:sz w:val="24"/>
          <w:szCs w:val="24"/>
        </w:rPr>
      </w:pPr>
    </w:p>
    <w:p w14:paraId="5ADA85E2" w14:textId="69DDDDC6" w:rsidR="002C4F12" w:rsidRDefault="002C4F12" w:rsidP="008B0276">
      <w:pPr>
        <w:rPr>
          <w:color w:val="00162F" w:themeColor="accent5" w:themeShade="1A"/>
        </w:rPr>
      </w:pPr>
      <w:r>
        <w:rPr>
          <w:color w:val="00162F" w:themeColor="accent5" w:themeShade="1A"/>
        </w:rPr>
        <w:t xml:space="preserve">Next meeting is </w:t>
      </w:r>
      <w:r w:rsidR="00265F59">
        <w:rPr>
          <w:color w:val="00162F" w:themeColor="accent5" w:themeShade="1A"/>
        </w:rPr>
        <w:t>October</w:t>
      </w:r>
      <w:r w:rsidR="00C15FF0">
        <w:rPr>
          <w:color w:val="00162F" w:themeColor="accent5" w:themeShade="1A"/>
        </w:rPr>
        <w:t xml:space="preserve"> 1</w:t>
      </w:r>
      <w:r w:rsidR="00265F59">
        <w:rPr>
          <w:color w:val="00162F" w:themeColor="accent5" w:themeShade="1A"/>
        </w:rPr>
        <w:t>3</w:t>
      </w:r>
      <w:r>
        <w:rPr>
          <w:color w:val="00162F" w:themeColor="accent5" w:themeShade="1A"/>
        </w:rPr>
        <w:t>th</w:t>
      </w:r>
    </w:p>
    <w:p w14:paraId="0577D4E6" w14:textId="77777777" w:rsidR="008B0276" w:rsidRDefault="00B61477" w:rsidP="00B61477">
      <w:pPr>
        <w:pBdr>
          <w:bottom w:val="double" w:sz="4" w:space="1" w:color="00162F" w:themeColor="accent5" w:themeShade="1A"/>
        </w:pBdr>
        <w:rPr>
          <w:color w:val="00162F" w:themeColor="accent5" w:themeShade="1A"/>
        </w:rPr>
      </w:pPr>
      <w:r>
        <w:rPr>
          <w:color w:val="00162F" w:themeColor="accent5" w:themeShade="1A"/>
        </w:rPr>
        <w:t>Follow-Up</w:t>
      </w:r>
    </w:p>
    <w:p w14:paraId="612F3985" w14:textId="35992C8B" w:rsidR="00B61477" w:rsidRDefault="00B61477" w:rsidP="008B0276">
      <w:pPr>
        <w:rPr>
          <w:color w:val="00162F" w:themeColor="accent5" w:themeShade="1A"/>
        </w:rPr>
      </w:pPr>
      <w:r>
        <w:rPr>
          <w:color w:val="00162F" w:themeColor="accent5" w:themeShade="1A"/>
        </w:rPr>
        <w:t>Customers:</w:t>
      </w:r>
    </w:p>
    <w:p w14:paraId="2BE6549C" w14:textId="3AD77A51" w:rsidR="003B4636" w:rsidRDefault="003B4636" w:rsidP="003B4636">
      <w:pPr>
        <w:pStyle w:val="ListParagraph"/>
        <w:numPr>
          <w:ilvl w:val="0"/>
          <w:numId w:val="12"/>
        </w:numPr>
        <w:rPr>
          <w:color w:val="00162F" w:themeColor="accent5" w:themeShade="1A"/>
        </w:rPr>
      </w:pPr>
      <w:r>
        <w:rPr>
          <w:color w:val="00162F" w:themeColor="accent5" w:themeShade="1A"/>
        </w:rPr>
        <w:t>Job 21036 – The next time Wells Fargo experiences issue with the pro rata share error message not displaying when it should, they will submit details of the active certificate and pool information to Karla so she can recreate the scenario.</w:t>
      </w:r>
    </w:p>
    <w:p w14:paraId="777C53AF" w14:textId="4BBFD426" w:rsidR="00DE508A" w:rsidRDefault="00DE508A" w:rsidP="003B4636">
      <w:pPr>
        <w:pStyle w:val="ListParagraph"/>
        <w:numPr>
          <w:ilvl w:val="0"/>
          <w:numId w:val="12"/>
        </w:numPr>
        <w:rPr>
          <w:color w:val="00162F" w:themeColor="accent5" w:themeShade="1A"/>
        </w:rPr>
      </w:pPr>
      <w:r>
        <w:rPr>
          <w:color w:val="00162F" w:themeColor="accent5" w:themeShade="1A"/>
        </w:rPr>
        <w:t>Submit the GinnieMae construction pool reporting scenarios to Karla.</w:t>
      </w:r>
    </w:p>
    <w:p w14:paraId="193A8D66" w14:textId="112FA685" w:rsidR="00A71F86" w:rsidRDefault="00A71F86" w:rsidP="003B4636">
      <w:pPr>
        <w:pStyle w:val="ListParagraph"/>
        <w:numPr>
          <w:ilvl w:val="0"/>
          <w:numId w:val="12"/>
        </w:numPr>
        <w:rPr>
          <w:color w:val="00162F" w:themeColor="accent5" w:themeShade="1A"/>
        </w:rPr>
      </w:pPr>
      <w:r>
        <w:rPr>
          <w:color w:val="00162F" w:themeColor="accent5" w:themeShade="1A"/>
        </w:rPr>
        <w:t>Reminder for everyone to go the website and review the updated BRD for Job 20237.  If you don’t have access to the MFS website</w:t>
      </w:r>
      <w:r w:rsidR="00D94D45">
        <w:rPr>
          <w:color w:val="00162F" w:themeColor="accent5" w:themeShade="1A"/>
        </w:rPr>
        <w:t>,</w:t>
      </w:r>
      <w:r>
        <w:rPr>
          <w:color w:val="00162F" w:themeColor="accent5" w:themeShade="1A"/>
        </w:rPr>
        <w:t xml:space="preserve"> please </w:t>
      </w:r>
      <w:hyperlink r:id="rId9" w:history="1">
        <w:r>
          <w:rPr>
            <w:rStyle w:val="Hyperlink"/>
          </w:rPr>
          <w:t>supportcenter@mccrackenfs.com</w:t>
        </w:r>
      </w:hyperlink>
      <w:r>
        <w:rPr>
          <w:color w:val="00162F" w:themeColor="accent5" w:themeShade="1A"/>
        </w:rPr>
        <w:t>.</w:t>
      </w:r>
    </w:p>
    <w:p w14:paraId="4769FBF6" w14:textId="202EDBED" w:rsidR="00A71F86" w:rsidRDefault="00A71F86" w:rsidP="003B4636">
      <w:pPr>
        <w:pStyle w:val="ListParagraph"/>
        <w:numPr>
          <w:ilvl w:val="0"/>
          <w:numId w:val="12"/>
        </w:numPr>
        <w:rPr>
          <w:color w:val="00162F" w:themeColor="accent5" w:themeShade="1A"/>
        </w:rPr>
      </w:pPr>
      <w:r>
        <w:rPr>
          <w:color w:val="00162F" w:themeColor="accent5" w:themeShade="1A"/>
        </w:rPr>
        <w:lastRenderedPageBreak/>
        <w:t>Carla Hoffman with Key will research Job 20649 further to verify this is still an issue.  It may be an issue when the wrong billing cycle is entered for an independent accrual loan and the receivable may not have been built yet.  I.e.  incorrect bill cycle drops on the 13</w:t>
      </w:r>
      <w:r w:rsidRPr="00A71F86">
        <w:rPr>
          <w:color w:val="00162F" w:themeColor="accent5" w:themeShade="1A"/>
          <w:vertAlign w:val="superscript"/>
        </w:rPr>
        <w:t>th</w:t>
      </w:r>
      <w:r>
        <w:rPr>
          <w:color w:val="00162F" w:themeColor="accent5" w:themeShade="1A"/>
        </w:rPr>
        <w:t xml:space="preserve"> but the receivable isn’t created until the 15</w:t>
      </w:r>
      <w:r w:rsidRPr="00A71F86">
        <w:rPr>
          <w:color w:val="00162F" w:themeColor="accent5" w:themeShade="1A"/>
          <w:vertAlign w:val="superscript"/>
        </w:rPr>
        <w:t>th</w:t>
      </w:r>
      <w:r>
        <w:rPr>
          <w:color w:val="00162F" w:themeColor="accent5" w:themeShade="1A"/>
        </w:rPr>
        <w:t>.</w:t>
      </w:r>
    </w:p>
    <w:p w14:paraId="40B7E5AB" w14:textId="0F92EE1E" w:rsidR="00A71F86" w:rsidRDefault="00A71F86" w:rsidP="003B4636">
      <w:pPr>
        <w:pStyle w:val="ListParagraph"/>
        <w:numPr>
          <w:ilvl w:val="0"/>
          <w:numId w:val="12"/>
        </w:numPr>
        <w:rPr>
          <w:color w:val="00162F" w:themeColor="accent5" w:themeShade="1A"/>
        </w:rPr>
      </w:pPr>
      <w:r>
        <w:rPr>
          <w:color w:val="00162F" w:themeColor="accent5" w:themeShade="1A"/>
        </w:rPr>
        <w:t>Job 19765 was assigned a Priority of 4 on the 2/10/2021 call.  Wells will do more testing and Melinda at Capital One mentioned they are currently testing the standard Write Track bill so she will also let us know what they find.</w:t>
      </w:r>
    </w:p>
    <w:p w14:paraId="12C5A861" w14:textId="48F6BFCC" w:rsidR="00AF0625" w:rsidRPr="006347CF" w:rsidRDefault="00AF0625" w:rsidP="003B4636">
      <w:pPr>
        <w:pStyle w:val="ListParagraph"/>
        <w:numPr>
          <w:ilvl w:val="0"/>
          <w:numId w:val="12"/>
        </w:numPr>
        <w:rPr>
          <w:i/>
          <w:iCs/>
          <w:color w:val="00162F" w:themeColor="accent5" w:themeShade="1A"/>
        </w:rPr>
      </w:pPr>
      <w:r>
        <w:rPr>
          <w:color w:val="00162F" w:themeColor="accent5" w:themeShade="1A"/>
        </w:rPr>
        <w:t>Job 21171 – Jason from Berkadia will research further and clarify what the field expansion should be.  Also, verify that the Bank DDA Number Description field is not included in any downstream, bank files (</w:t>
      </w:r>
      <w:r w:rsidR="00D94D45">
        <w:rPr>
          <w:color w:val="00162F" w:themeColor="accent5" w:themeShade="1A"/>
        </w:rPr>
        <w:t>i.e.</w:t>
      </w:r>
      <w:r>
        <w:rPr>
          <w:color w:val="00162F" w:themeColor="accent5" w:themeShade="1A"/>
        </w:rPr>
        <w:t xml:space="preserve">  ACH, Lockbox, PAT…) since we don’t want to negatively impact these files.  The consensus was that the description field probably isn’t included.  The description field is mostly informational</w:t>
      </w:r>
      <w:r w:rsidRPr="006347CF">
        <w:rPr>
          <w:i/>
          <w:iCs/>
          <w:color w:val="00162F" w:themeColor="accent5" w:themeShade="1A"/>
        </w:rPr>
        <w:t>.</w:t>
      </w:r>
      <w:r w:rsidR="006347CF" w:rsidRPr="006347CF">
        <w:rPr>
          <w:i/>
          <w:iCs/>
          <w:color w:val="00162F" w:themeColor="accent5" w:themeShade="1A"/>
        </w:rPr>
        <w:t xml:space="preserve">  Email sent 8/19 requests the DDA Number Description field be expanded to 100 characters.</w:t>
      </w:r>
    </w:p>
    <w:p w14:paraId="504E9295" w14:textId="77777777" w:rsidR="002C4F12" w:rsidRPr="002C4F12" w:rsidRDefault="002C4F12" w:rsidP="00995F36">
      <w:pPr>
        <w:pStyle w:val="ListParagraph"/>
        <w:rPr>
          <w:color w:val="00162F" w:themeColor="accent5" w:themeShade="1A"/>
        </w:rPr>
      </w:pPr>
    </w:p>
    <w:p w14:paraId="6BBE8578" w14:textId="5B4FB5BD" w:rsidR="00B61477" w:rsidRDefault="00B61477" w:rsidP="008B0276">
      <w:pPr>
        <w:rPr>
          <w:color w:val="00162F" w:themeColor="accent5" w:themeShade="1A"/>
        </w:rPr>
      </w:pPr>
      <w:bookmarkStart w:id="1" w:name="_Hlk64906492"/>
      <w:r>
        <w:rPr>
          <w:color w:val="00162F" w:themeColor="accent5" w:themeShade="1A"/>
        </w:rPr>
        <w:t>McCracken:</w:t>
      </w:r>
    </w:p>
    <w:bookmarkEnd w:id="1"/>
    <w:p w14:paraId="0B518001" w14:textId="45BBF1FA" w:rsidR="00D7620A" w:rsidRPr="00DE508A" w:rsidRDefault="009356C8" w:rsidP="005E3887">
      <w:pPr>
        <w:pStyle w:val="ListParagraph"/>
        <w:numPr>
          <w:ilvl w:val="0"/>
          <w:numId w:val="7"/>
        </w:numPr>
      </w:pPr>
      <w:r w:rsidRPr="00DE508A">
        <w:t xml:space="preserve">Job 14616 - </w:t>
      </w:r>
      <w:r w:rsidRPr="00DE508A">
        <w:rPr>
          <w:rFonts w:cs="Times New Roman"/>
        </w:rPr>
        <w:t>MFS to check why the ‘# of days to Protect Original User’s Loan Group’ field on the Library Backup Information&gt;Account Housekeeping screen isn’t working</w:t>
      </w:r>
      <w:r w:rsidR="00995F36" w:rsidRPr="00DE508A">
        <w:t>.</w:t>
      </w:r>
    </w:p>
    <w:p w14:paraId="6BEC0FF9" w14:textId="76848B2A" w:rsidR="00995F36" w:rsidRDefault="00DE508A" w:rsidP="005E3887">
      <w:pPr>
        <w:pStyle w:val="ListParagraph"/>
        <w:numPr>
          <w:ilvl w:val="0"/>
          <w:numId w:val="7"/>
        </w:numPr>
        <w:rPr>
          <w:color w:val="00162F" w:themeColor="accent5" w:themeShade="1A"/>
        </w:rPr>
      </w:pPr>
      <w:r>
        <w:rPr>
          <w:color w:val="00162F" w:themeColor="accent5" w:themeShade="1A"/>
        </w:rPr>
        <w:t>Karla will reach out to GinnieMae customers regarding submission of the construction pool reporting scenarios</w:t>
      </w:r>
      <w:r w:rsidR="00AF0625">
        <w:rPr>
          <w:color w:val="00162F" w:themeColor="accent5" w:themeShade="1A"/>
        </w:rPr>
        <w:t xml:space="preserve"> later this year</w:t>
      </w:r>
      <w:r>
        <w:rPr>
          <w:color w:val="00162F" w:themeColor="accent5" w:themeShade="1A"/>
        </w:rPr>
        <w:t>.</w:t>
      </w:r>
    </w:p>
    <w:p w14:paraId="0B9A21FA" w14:textId="77777777" w:rsidR="00CC33A6" w:rsidRDefault="00414B74" w:rsidP="005E3887">
      <w:pPr>
        <w:pStyle w:val="ListParagraph"/>
        <w:numPr>
          <w:ilvl w:val="0"/>
          <w:numId w:val="7"/>
        </w:numPr>
        <w:rPr>
          <w:color w:val="00162F" w:themeColor="accent5" w:themeShade="1A"/>
        </w:rPr>
      </w:pPr>
      <w:r>
        <w:rPr>
          <w:color w:val="00162F" w:themeColor="accent5" w:themeShade="1A"/>
        </w:rPr>
        <w:t xml:space="preserve">Job 20237 – MFS </w:t>
      </w:r>
      <w:r w:rsidR="00AF0625">
        <w:rPr>
          <w:color w:val="00162F" w:themeColor="accent5" w:themeShade="1A"/>
        </w:rPr>
        <w:t xml:space="preserve">should verify </w:t>
      </w:r>
      <w:r>
        <w:rPr>
          <w:color w:val="00162F" w:themeColor="accent5" w:themeShade="1A"/>
        </w:rPr>
        <w:t>all the portal and CS files related to Operating Statements, Inspections, Rent Rolls and Occupancy</w:t>
      </w:r>
      <w:r w:rsidR="00CC33A6">
        <w:rPr>
          <w:color w:val="00162F" w:themeColor="accent5" w:themeShade="1A"/>
        </w:rPr>
        <w:t xml:space="preserve"> are included in BRD</w:t>
      </w:r>
      <w:r>
        <w:rPr>
          <w:color w:val="00162F" w:themeColor="accent5" w:themeShade="1A"/>
        </w:rPr>
        <w:t xml:space="preserve">.  </w:t>
      </w:r>
    </w:p>
    <w:p w14:paraId="7607E818" w14:textId="77777777" w:rsidR="00CC33A6" w:rsidRDefault="00CC33A6" w:rsidP="00CC33A6">
      <w:pPr>
        <w:pStyle w:val="ListParagraph"/>
        <w:rPr>
          <w:color w:val="00162F" w:themeColor="accent5" w:themeShade="1A"/>
        </w:rPr>
      </w:pPr>
    </w:p>
    <w:p w14:paraId="2C91EEC7" w14:textId="77777777" w:rsidR="00CC33A6" w:rsidRDefault="00CC33A6" w:rsidP="00CC33A6">
      <w:pPr>
        <w:pStyle w:val="ListParagraph"/>
      </w:pPr>
      <w:r>
        <w:t xml:space="preserve">Customers would like the BRD to include a new System Control parameter for purging PFMHST added to the General&gt;Purge Parameters screen.   To avoid a user from accidentally purging the File Maintenance Log when purging Collateral based data, Amanda does not want it added to the Account Housekeeping Purge screen. </w:t>
      </w:r>
    </w:p>
    <w:p w14:paraId="191CE9CA" w14:textId="77777777" w:rsidR="00CC33A6" w:rsidRDefault="00CC33A6" w:rsidP="00CC33A6">
      <w:pPr>
        <w:pStyle w:val="ListParagraph"/>
      </w:pPr>
    </w:p>
    <w:p w14:paraId="77AC09A9" w14:textId="77777777" w:rsidR="009B0E68" w:rsidRDefault="00CC33A6" w:rsidP="00CC33A6">
      <w:pPr>
        <w:pStyle w:val="ListParagraph"/>
      </w:pPr>
      <w:r>
        <w:t xml:space="preserve">Some auditors do not want any evidence of the Collateral IDs while some may want to see the history showing the records were purged.  Therefore, we need to provide an option for this.  It sounds like they want this option to be available on each of the individual files being purged under this Job.  MFS may need additional information to build out this BRD requirement.   </w:t>
      </w:r>
    </w:p>
    <w:p w14:paraId="622FA69F" w14:textId="4B3707F7" w:rsidR="00242E27" w:rsidRPr="00DE508A" w:rsidRDefault="009B0E68" w:rsidP="009B0E68">
      <w:pPr>
        <w:pStyle w:val="ListParagraph"/>
        <w:numPr>
          <w:ilvl w:val="0"/>
          <w:numId w:val="7"/>
        </w:numPr>
        <w:rPr>
          <w:color w:val="00162F" w:themeColor="accent5" w:themeShade="1A"/>
        </w:rPr>
      </w:pPr>
      <w:r>
        <w:rPr>
          <w:color w:val="00162F" w:themeColor="accent5" w:themeShade="1A"/>
        </w:rPr>
        <w:t>Job 21204 – MFS needs to review all Portal widgets to see what other ones besides IRP Loan Reporting and Master 2 need the new security options added.  All widgets should have the read, write, delete, print security options instead of just Execute which allows users to make data changes.  This is especially important in the cases where they need to be able to assign Read rights only.  This is a Priority 1 Job.</w:t>
      </w:r>
    </w:p>
    <w:sectPr w:rsidR="00242E27" w:rsidRPr="00DE50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D6A2" w14:textId="77777777" w:rsidR="00AC2258" w:rsidRDefault="00AC2258" w:rsidP="008B0276">
      <w:pPr>
        <w:spacing w:after="0" w:line="240" w:lineRule="auto"/>
      </w:pPr>
      <w:r>
        <w:separator/>
      </w:r>
    </w:p>
  </w:endnote>
  <w:endnote w:type="continuationSeparator" w:id="0">
    <w:p w14:paraId="1E356169" w14:textId="77777777" w:rsidR="00AC2258" w:rsidRDefault="00AC2258" w:rsidP="008B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9022" w14:textId="77777777" w:rsidR="00AC2258" w:rsidRDefault="00AC2258" w:rsidP="008B0276">
      <w:pPr>
        <w:spacing w:after="0" w:line="240" w:lineRule="auto"/>
      </w:pPr>
      <w:r>
        <w:separator/>
      </w:r>
    </w:p>
  </w:footnote>
  <w:footnote w:type="continuationSeparator" w:id="0">
    <w:p w14:paraId="3169F2BC" w14:textId="77777777" w:rsidR="00AC2258" w:rsidRDefault="00AC2258" w:rsidP="008B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27643F9" w14:textId="77777777" w:rsidR="008B0276" w:rsidRDefault="008B0276" w:rsidP="008B0276">
        <w:pPr>
          <w:pStyle w:val="Header"/>
          <w:pBdr>
            <w:bottom w:val="thickThinSmallGap" w:sz="24" w:space="1" w:color="001933" w:themeColor="accent6"/>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MAC Sub-Committee Minutes</w:t>
        </w:r>
      </w:p>
    </w:sdtContent>
  </w:sdt>
  <w:p w14:paraId="1E1A771C" w14:textId="77777777" w:rsidR="008B0276" w:rsidRDefault="008B0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48A"/>
    <w:multiLevelType w:val="hybridMultilevel"/>
    <w:tmpl w:val="EE50325A"/>
    <w:lvl w:ilvl="0" w:tplc="B9F8D7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C27AA"/>
    <w:multiLevelType w:val="hybridMultilevel"/>
    <w:tmpl w:val="E2321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141F"/>
    <w:multiLevelType w:val="hybridMultilevel"/>
    <w:tmpl w:val="184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8274C"/>
    <w:multiLevelType w:val="hybridMultilevel"/>
    <w:tmpl w:val="B5E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97B20"/>
    <w:multiLevelType w:val="hybridMultilevel"/>
    <w:tmpl w:val="A71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53C1E"/>
    <w:multiLevelType w:val="hybridMultilevel"/>
    <w:tmpl w:val="10FA8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82579"/>
    <w:multiLevelType w:val="hybridMultilevel"/>
    <w:tmpl w:val="A210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A1F6D"/>
    <w:multiLevelType w:val="hybridMultilevel"/>
    <w:tmpl w:val="9132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C61BE3"/>
    <w:multiLevelType w:val="hybridMultilevel"/>
    <w:tmpl w:val="3BF6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A3EA9"/>
    <w:multiLevelType w:val="hybridMultilevel"/>
    <w:tmpl w:val="30EC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32C33"/>
    <w:multiLevelType w:val="hybridMultilevel"/>
    <w:tmpl w:val="B3D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4"/>
  </w:num>
  <w:num w:numId="6">
    <w:abstractNumId w:val="9"/>
  </w:num>
  <w:num w:numId="7">
    <w:abstractNumId w:val="8"/>
  </w:num>
  <w:num w:numId="8">
    <w:abstractNumId w:val="7"/>
  </w:num>
  <w:num w:numId="9">
    <w:abstractNumId w:val="9"/>
  </w:num>
  <w:num w:numId="10">
    <w:abstractNumId w:val="8"/>
  </w:num>
  <w:num w:numId="11">
    <w:abstractNumId w:val="1"/>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C9"/>
    <w:rsid w:val="0000160E"/>
    <w:rsid w:val="00001C16"/>
    <w:rsid w:val="00004B46"/>
    <w:rsid w:val="00036CCE"/>
    <w:rsid w:val="0008071B"/>
    <w:rsid w:val="00092031"/>
    <w:rsid w:val="000A269A"/>
    <w:rsid w:val="00153C0D"/>
    <w:rsid w:val="00182218"/>
    <w:rsid w:val="00183F89"/>
    <w:rsid w:val="001B24BA"/>
    <w:rsid w:val="001B2B85"/>
    <w:rsid w:val="001F7CD0"/>
    <w:rsid w:val="00230A1D"/>
    <w:rsid w:val="00242E27"/>
    <w:rsid w:val="00265F59"/>
    <w:rsid w:val="002842D3"/>
    <w:rsid w:val="002A1048"/>
    <w:rsid w:val="002C4F12"/>
    <w:rsid w:val="003952BD"/>
    <w:rsid w:val="00397732"/>
    <w:rsid w:val="003B0421"/>
    <w:rsid w:val="003B4636"/>
    <w:rsid w:val="003C4E00"/>
    <w:rsid w:val="00414B74"/>
    <w:rsid w:val="004220A0"/>
    <w:rsid w:val="004742B6"/>
    <w:rsid w:val="00485167"/>
    <w:rsid w:val="004A1E49"/>
    <w:rsid w:val="004C7D78"/>
    <w:rsid w:val="004D210D"/>
    <w:rsid w:val="00507B60"/>
    <w:rsid w:val="0051232B"/>
    <w:rsid w:val="00522905"/>
    <w:rsid w:val="00576CF8"/>
    <w:rsid w:val="00584B28"/>
    <w:rsid w:val="00597772"/>
    <w:rsid w:val="005E3887"/>
    <w:rsid w:val="00601A10"/>
    <w:rsid w:val="00604308"/>
    <w:rsid w:val="0062422E"/>
    <w:rsid w:val="006347CF"/>
    <w:rsid w:val="006B7FC0"/>
    <w:rsid w:val="006D76B0"/>
    <w:rsid w:val="006E2E24"/>
    <w:rsid w:val="006E3A31"/>
    <w:rsid w:val="006F259B"/>
    <w:rsid w:val="00734348"/>
    <w:rsid w:val="007602B0"/>
    <w:rsid w:val="0076464D"/>
    <w:rsid w:val="00793457"/>
    <w:rsid w:val="007F46BF"/>
    <w:rsid w:val="00843848"/>
    <w:rsid w:val="008B0276"/>
    <w:rsid w:val="008B4F75"/>
    <w:rsid w:val="009356C8"/>
    <w:rsid w:val="00950294"/>
    <w:rsid w:val="0095662E"/>
    <w:rsid w:val="00995F36"/>
    <w:rsid w:val="009B0E68"/>
    <w:rsid w:val="009B21CE"/>
    <w:rsid w:val="009B6671"/>
    <w:rsid w:val="00A51E72"/>
    <w:rsid w:val="00A71F86"/>
    <w:rsid w:val="00AC2258"/>
    <w:rsid w:val="00AD0112"/>
    <w:rsid w:val="00AD34AE"/>
    <w:rsid w:val="00AD62F2"/>
    <w:rsid w:val="00AE30B9"/>
    <w:rsid w:val="00AF0625"/>
    <w:rsid w:val="00B0660E"/>
    <w:rsid w:val="00B21D55"/>
    <w:rsid w:val="00B46E23"/>
    <w:rsid w:val="00B46E24"/>
    <w:rsid w:val="00B61477"/>
    <w:rsid w:val="00BA057F"/>
    <w:rsid w:val="00BA6CAC"/>
    <w:rsid w:val="00BF74EA"/>
    <w:rsid w:val="00C005CE"/>
    <w:rsid w:val="00C15FF0"/>
    <w:rsid w:val="00C469B1"/>
    <w:rsid w:val="00C61DF5"/>
    <w:rsid w:val="00C72F1F"/>
    <w:rsid w:val="00C76F01"/>
    <w:rsid w:val="00C8127A"/>
    <w:rsid w:val="00C91FF4"/>
    <w:rsid w:val="00CA173C"/>
    <w:rsid w:val="00CC33A6"/>
    <w:rsid w:val="00D53497"/>
    <w:rsid w:val="00D65559"/>
    <w:rsid w:val="00D67969"/>
    <w:rsid w:val="00D7620A"/>
    <w:rsid w:val="00D945F4"/>
    <w:rsid w:val="00D94D45"/>
    <w:rsid w:val="00DD433F"/>
    <w:rsid w:val="00DE270C"/>
    <w:rsid w:val="00DE508A"/>
    <w:rsid w:val="00DF44C3"/>
    <w:rsid w:val="00E108A9"/>
    <w:rsid w:val="00E16720"/>
    <w:rsid w:val="00E2564C"/>
    <w:rsid w:val="00E277B4"/>
    <w:rsid w:val="00E51547"/>
    <w:rsid w:val="00EF5846"/>
    <w:rsid w:val="00F11D80"/>
    <w:rsid w:val="00F20DC9"/>
    <w:rsid w:val="00F22C66"/>
    <w:rsid w:val="00F50EB0"/>
    <w:rsid w:val="00F81669"/>
    <w:rsid w:val="00F83E3C"/>
    <w:rsid w:val="00F85841"/>
    <w:rsid w:val="00F87786"/>
    <w:rsid w:val="00F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DE76F"/>
  <w15:docId w15:val="{7FEB990D-7E32-49F5-9459-DEC3DAEC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F4"/>
    <w:rPr>
      <w:rFonts w:ascii="Times New Roman" w:eastAsiaTheme="minorEastAsia" w:hAnsi="Times New Roman"/>
    </w:rPr>
  </w:style>
  <w:style w:type="paragraph" w:styleId="Heading3">
    <w:name w:val="heading 3"/>
    <w:basedOn w:val="Normal"/>
    <w:link w:val="Heading3Char"/>
    <w:uiPriority w:val="9"/>
    <w:semiHidden/>
    <w:unhideWhenUsed/>
    <w:qFormat/>
    <w:rsid w:val="00E277B4"/>
    <w:pPr>
      <w:spacing w:before="60" w:after="60"/>
      <w:contextualSpacing/>
      <w:outlineLvl w:val="2"/>
    </w:pPr>
    <w:rPr>
      <w:rFonts w:ascii="Arial" w:eastAsiaTheme="minorHAnsi" w:hAnsi="Arial" w:cs="Arial"/>
      <w:b/>
      <w:bCs/>
      <w:color w:val="002060"/>
    </w:rPr>
  </w:style>
  <w:style w:type="paragraph" w:styleId="Heading4">
    <w:name w:val="heading 4"/>
    <w:basedOn w:val="Normal"/>
    <w:next w:val="Normal"/>
    <w:link w:val="Heading4Char"/>
    <w:uiPriority w:val="9"/>
    <w:semiHidden/>
    <w:unhideWhenUsed/>
    <w:qFormat/>
    <w:rsid w:val="00C15FF0"/>
    <w:pPr>
      <w:keepNext/>
      <w:keepLines/>
      <w:spacing w:before="40" w:after="0"/>
      <w:outlineLvl w:val="3"/>
    </w:pPr>
    <w:rPr>
      <w:rFonts w:asciiTheme="majorHAnsi" w:eastAsiaTheme="majorEastAsia" w:hAnsiTheme="majorHAnsi" w:cstheme="majorBidi"/>
      <w:i/>
      <w:iCs/>
      <w:color w:val="BF4C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720"/>
    <w:pPr>
      <w:spacing w:after="0" w:line="240" w:lineRule="auto"/>
    </w:pPr>
  </w:style>
  <w:style w:type="character" w:customStyle="1" w:styleId="NoSpacingChar">
    <w:name w:val="No Spacing Char"/>
    <w:basedOn w:val="DefaultParagraphFont"/>
    <w:link w:val="NoSpacing"/>
    <w:uiPriority w:val="1"/>
    <w:rsid w:val="00E16720"/>
  </w:style>
  <w:style w:type="paragraph" w:styleId="Header">
    <w:name w:val="header"/>
    <w:basedOn w:val="Normal"/>
    <w:link w:val="HeaderChar"/>
    <w:uiPriority w:val="99"/>
    <w:unhideWhenUsed/>
    <w:rsid w:val="008B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76"/>
    <w:rPr>
      <w:rFonts w:ascii="Times New Roman" w:eastAsiaTheme="minorEastAsia" w:hAnsi="Times New Roman"/>
    </w:rPr>
  </w:style>
  <w:style w:type="paragraph" w:styleId="Footer">
    <w:name w:val="footer"/>
    <w:basedOn w:val="Normal"/>
    <w:link w:val="FooterChar"/>
    <w:uiPriority w:val="99"/>
    <w:unhideWhenUsed/>
    <w:rsid w:val="008B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76"/>
    <w:rPr>
      <w:rFonts w:ascii="Times New Roman" w:eastAsiaTheme="minorEastAsia" w:hAnsi="Times New Roman"/>
    </w:rPr>
  </w:style>
  <w:style w:type="paragraph" w:styleId="BalloonText">
    <w:name w:val="Balloon Text"/>
    <w:basedOn w:val="Normal"/>
    <w:link w:val="BalloonTextChar"/>
    <w:uiPriority w:val="99"/>
    <w:semiHidden/>
    <w:unhideWhenUsed/>
    <w:rsid w:val="008B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6"/>
    <w:rPr>
      <w:rFonts w:ascii="Tahoma" w:eastAsiaTheme="minorEastAsia" w:hAnsi="Tahoma" w:cs="Tahoma"/>
      <w:sz w:val="16"/>
      <w:szCs w:val="16"/>
    </w:rPr>
  </w:style>
  <w:style w:type="table" w:styleId="TableGrid">
    <w:name w:val="Table Grid"/>
    <w:basedOn w:val="TableNormal"/>
    <w:uiPriority w:val="59"/>
    <w:rsid w:val="008B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76"/>
    <w:pPr>
      <w:ind w:left="720"/>
      <w:contextualSpacing/>
    </w:pPr>
  </w:style>
  <w:style w:type="character" w:styleId="Hyperlink">
    <w:name w:val="Hyperlink"/>
    <w:basedOn w:val="DefaultParagraphFont"/>
    <w:uiPriority w:val="99"/>
    <w:unhideWhenUsed/>
    <w:rsid w:val="00734348"/>
    <w:rPr>
      <w:color w:val="FF6800" w:themeColor="hyperlink"/>
      <w:u w:val="single"/>
    </w:rPr>
  </w:style>
  <w:style w:type="character" w:styleId="UnresolvedMention">
    <w:name w:val="Unresolved Mention"/>
    <w:basedOn w:val="DefaultParagraphFont"/>
    <w:uiPriority w:val="99"/>
    <w:semiHidden/>
    <w:unhideWhenUsed/>
    <w:rsid w:val="00734348"/>
    <w:rPr>
      <w:color w:val="605E5C"/>
      <w:shd w:val="clear" w:color="auto" w:fill="E1DFDD"/>
    </w:rPr>
  </w:style>
  <w:style w:type="character" w:styleId="FollowedHyperlink">
    <w:name w:val="FollowedHyperlink"/>
    <w:basedOn w:val="DefaultParagraphFont"/>
    <w:uiPriority w:val="99"/>
    <w:semiHidden/>
    <w:unhideWhenUsed/>
    <w:rsid w:val="007F46BF"/>
    <w:rPr>
      <w:color w:val="FFC299" w:themeColor="followedHyperlink"/>
      <w:u w:val="single"/>
    </w:rPr>
  </w:style>
  <w:style w:type="character" w:customStyle="1" w:styleId="Heading3Char">
    <w:name w:val="Heading 3 Char"/>
    <w:basedOn w:val="DefaultParagraphFont"/>
    <w:link w:val="Heading3"/>
    <w:uiPriority w:val="9"/>
    <w:semiHidden/>
    <w:rsid w:val="00E277B4"/>
    <w:rPr>
      <w:rFonts w:ascii="Arial" w:hAnsi="Arial" w:cs="Arial"/>
      <w:b/>
      <w:bCs/>
      <w:color w:val="002060"/>
    </w:rPr>
  </w:style>
  <w:style w:type="character" w:customStyle="1" w:styleId="Heading4Char">
    <w:name w:val="Heading 4 Char"/>
    <w:basedOn w:val="DefaultParagraphFont"/>
    <w:link w:val="Heading4"/>
    <w:uiPriority w:val="9"/>
    <w:semiHidden/>
    <w:rsid w:val="00C15FF0"/>
    <w:rPr>
      <w:rFonts w:asciiTheme="majorHAnsi" w:eastAsiaTheme="majorEastAsia" w:hAnsiTheme="majorHAnsi" w:cstheme="majorBidi"/>
      <w:i/>
      <w:iCs/>
      <w:color w:val="BF4C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310">
      <w:bodyDiv w:val="1"/>
      <w:marLeft w:val="0"/>
      <w:marRight w:val="0"/>
      <w:marTop w:val="0"/>
      <w:marBottom w:val="0"/>
      <w:divBdr>
        <w:top w:val="none" w:sz="0" w:space="0" w:color="auto"/>
        <w:left w:val="none" w:sz="0" w:space="0" w:color="auto"/>
        <w:bottom w:val="none" w:sz="0" w:space="0" w:color="auto"/>
        <w:right w:val="none" w:sz="0" w:space="0" w:color="auto"/>
      </w:divBdr>
    </w:div>
    <w:div w:id="381751531">
      <w:bodyDiv w:val="1"/>
      <w:marLeft w:val="0"/>
      <w:marRight w:val="0"/>
      <w:marTop w:val="0"/>
      <w:marBottom w:val="0"/>
      <w:divBdr>
        <w:top w:val="none" w:sz="0" w:space="0" w:color="auto"/>
        <w:left w:val="none" w:sz="0" w:space="0" w:color="auto"/>
        <w:bottom w:val="none" w:sz="0" w:space="0" w:color="auto"/>
        <w:right w:val="none" w:sz="0" w:space="0" w:color="auto"/>
      </w:divBdr>
    </w:div>
    <w:div w:id="518735116">
      <w:bodyDiv w:val="1"/>
      <w:marLeft w:val="0"/>
      <w:marRight w:val="0"/>
      <w:marTop w:val="0"/>
      <w:marBottom w:val="0"/>
      <w:divBdr>
        <w:top w:val="none" w:sz="0" w:space="0" w:color="auto"/>
        <w:left w:val="none" w:sz="0" w:space="0" w:color="auto"/>
        <w:bottom w:val="none" w:sz="0" w:space="0" w:color="auto"/>
        <w:right w:val="none" w:sz="0" w:space="0" w:color="auto"/>
      </w:divBdr>
    </w:div>
    <w:div w:id="663045951">
      <w:bodyDiv w:val="1"/>
      <w:marLeft w:val="0"/>
      <w:marRight w:val="0"/>
      <w:marTop w:val="0"/>
      <w:marBottom w:val="0"/>
      <w:divBdr>
        <w:top w:val="none" w:sz="0" w:space="0" w:color="auto"/>
        <w:left w:val="none" w:sz="0" w:space="0" w:color="auto"/>
        <w:bottom w:val="none" w:sz="0" w:space="0" w:color="auto"/>
        <w:right w:val="none" w:sz="0" w:space="0" w:color="auto"/>
      </w:divBdr>
    </w:div>
    <w:div w:id="679771890">
      <w:bodyDiv w:val="1"/>
      <w:marLeft w:val="0"/>
      <w:marRight w:val="0"/>
      <w:marTop w:val="0"/>
      <w:marBottom w:val="0"/>
      <w:divBdr>
        <w:top w:val="none" w:sz="0" w:space="0" w:color="auto"/>
        <w:left w:val="none" w:sz="0" w:space="0" w:color="auto"/>
        <w:bottom w:val="none" w:sz="0" w:space="0" w:color="auto"/>
        <w:right w:val="none" w:sz="0" w:space="0" w:color="auto"/>
      </w:divBdr>
    </w:div>
    <w:div w:id="862401529">
      <w:bodyDiv w:val="1"/>
      <w:marLeft w:val="0"/>
      <w:marRight w:val="0"/>
      <w:marTop w:val="0"/>
      <w:marBottom w:val="0"/>
      <w:divBdr>
        <w:top w:val="none" w:sz="0" w:space="0" w:color="auto"/>
        <w:left w:val="none" w:sz="0" w:space="0" w:color="auto"/>
        <w:bottom w:val="none" w:sz="0" w:space="0" w:color="auto"/>
        <w:right w:val="none" w:sz="0" w:space="0" w:color="auto"/>
      </w:divBdr>
    </w:div>
    <w:div w:id="873425677">
      <w:bodyDiv w:val="1"/>
      <w:marLeft w:val="0"/>
      <w:marRight w:val="0"/>
      <w:marTop w:val="0"/>
      <w:marBottom w:val="0"/>
      <w:divBdr>
        <w:top w:val="none" w:sz="0" w:space="0" w:color="auto"/>
        <w:left w:val="none" w:sz="0" w:space="0" w:color="auto"/>
        <w:bottom w:val="none" w:sz="0" w:space="0" w:color="auto"/>
        <w:right w:val="none" w:sz="0" w:space="0" w:color="auto"/>
      </w:divBdr>
    </w:div>
    <w:div w:id="920287776">
      <w:bodyDiv w:val="1"/>
      <w:marLeft w:val="0"/>
      <w:marRight w:val="0"/>
      <w:marTop w:val="0"/>
      <w:marBottom w:val="0"/>
      <w:divBdr>
        <w:top w:val="none" w:sz="0" w:space="0" w:color="auto"/>
        <w:left w:val="none" w:sz="0" w:space="0" w:color="auto"/>
        <w:bottom w:val="none" w:sz="0" w:space="0" w:color="auto"/>
        <w:right w:val="none" w:sz="0" w:space="0" w:color="auto"/>
      </w:divBdr>
    </w:div>
    <w:div w:id="1003120738">
      <w:bodyDiv w:val="1"/>
      <w:marLeft w:val="0"/>
      <w:marRight w:val="0"/>
      <w:marTop w:val="0"/>
      <w:marBottom w:val="0"/>
      <w:divBdr>
        <w:top w:val="none" w:sz="0" w:space="0" w:color="auto"/>
        <w:left w:val="none" w:sz="0" w:space="0" w:color="auto"/>
        <w:bottom w:val="none" w:sz="0" w:space="0" w:color="auto"/>
        <w:right w:val="none" w:sz="0" w:space="0" w:color="auto"/>
      </w:divBdr>
    </w:div>
    <w:div w:id="1170563087">
      <w:bodyDiv w:val="1"/>
      <w:marLeft w:val="0"/>
      <w:marRight w:val="0"/>
      <w:marTop w:val="0"/>
      <w:marBottom w:val="0"/>
      <w:divBdr>
        <w:top w:val="none" w:sz="0" w:space="0" w:color="auto"/>
        <w:left w:val="none" w:sz="0" w:space="0" w:color="auto"/>
        <w:bottom w:val="none" w:sz="0" w:space="0" w:color="auto"/>
        <w:right w:val="none" w:sz="0" w:space="0" w:color="auto"/>
      </w:divBdr>
    </w:div>
    <w:div w:id="1271621735">
      <w:bodyDiv w:val="1"/>
      <w:marLeft w:val="0"/>
      <w:marRight w:val="0"/>
      <w:marTop w:val="0"/>
      <w:marBottom w:val="0"/>
      <w:divBdr>
        <w:top w:val="none" w:sz="0" w:space="0" w:color="auto"/>
        <w:left w:val="none" w:sz="0" w:space="0" w:color="auto"/>
        <w:bottom w:val="none" w:sz="0" w:space="0" w:color="auto"/>
        <w:right w:val="none" w:sz="0" w:space="0" w:color="auto"/>
      </w:divBdr>
    </w:div>
    <w:div w:id="20546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crackenfs.com/download/3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center@mccrackenf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KFERGUSON\MAC\GinnieMae\MAC%20Calls_GNMA%20specifically%20mentioned\Sub%20Committee%20Meeting%20Template_02102021.dotx" TargetMode="External"/></Relationships>
</file>

<file path=word/theme/theme1.xml><?xml version="1.0" encoding="utf-8"?>
<a:theme xmlns:a="http://schemas.openxmlformats.org/drawingml/2006/main" name="Office Theme">
  <a:themeElements>
    <a:clrScheme name="MCC RETRO Colors">
      <a:dk1>
        <a:srgbClr val="003366"/>
      </a:dk1>
      <a:lt1>
        <a:srgbClr val="FFFFFF"/>
      </a:lt1>
      <a:dk2>
        <a:srgbClr val="003366"/>
      </a:dk2>
      <a:lt2>
        <a:srgbClr val="FFC199"/>
      </a:lt2>
      <a:accent1>
        <a:srgbClr val="FF6600"/>
      </a:accent1>
      <a:accent2>
        <a:srgbClr val="FF6800"/>
      </a:accent2>
      <a:accent3>
        <a:srgbClr val="003366"/>
      </a:accent3>
      <a:accent4>
        <a:srgbClr val="FFFFFF"/>
      </a:accent4>
      <a:accent5>
        <a:srgbClr val="D1E7FF"/>
      </a:accent5>
      <a:accent6>
        <a:srgbClr val="001933"/>
      </a:accent6>
      <a:hlink>
        <a:srgbClr val="FF6800"/>
      </a:hlink>
      <a:folHlink>
        <a:srgbClr val="FFC2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1648-0126-45A9-B791-8ECF288D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 Committee Meeting Template_02102021</Template>
  <TotalTime>18</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MAC Sub-Committee Minutes</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Sub-Committee Minutes</dc:title>
  <dc:creator>Karla Ferguson</dc:creator>
  <cp:lastModifiedBy>Kim Cooper</cp:lastModifiedBy>
  <cp:revision>4</cp:revision>
  <cp:lastPrinted>2021-04-14T17:58:00Z</cp:lastPrinted>
  <dcterms:created xsi:type="dcterms:W3CDTF">2021-08-19T12:41:00Z</dcterms:created>
  <dcterms:modified xsi:type="dcterms:W3CDTF">2021-08-19T12:53:00Z</dcterms:modified>
</cp:coreProperties>
</file>